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1B_125/2011 vom 8. April 2011</w:t>
      </w:r>
    </w:p>
    <w:p>
      <w:r>
        <w:t>Bundesgericht, 2011-04-08, FR</w:t>
      </w:r>
    </w:p>
    <w:p>
      <w:r>
        <w:rPr>
          <w:b/>
        </w:rPr>
        <w:t xml:space="preserve">Quelle: </w:t>
      </w:r>
      <w:r>
        <w:t>https://mcp.opencaselaw.ch/entscheid/bger_1B_125_2011</w:t>
      </w:r>
    </w:p>
    <w:p>
      <w:r>
        <w:t>FR: TF 1B_125/2011 du 8 avril 2011</w:t>
      </w:r>
    </w:p>
    <w:p>
      <w:r>
        <w:t>IT: TF 1B_125/2011 del 8 aprile 2011</w:t>
      </w:r>
    </w:p>
    <w:p>
      <w:pPr>
        <w:pStyle w:val="Heading2"/>
      </w:pPr>
      <w:r>
        <w:t>Erwägungen</w:t>
      </w:r>
    </w:p>
    <w:p>
      <w:r>
        <w:rPr>
          <w:b/>
        </w:rPr>
        <w:t>E. 1</w:t>
      </w:r>
    </w:p>
    <w:p>
      <w:r>
        <w:t>Le recours en matière pénale ( art. 78 al. 1 LTF ) est ouvert contre une décision relative au maintien en détention préventive.</w:t>
      </w:r>
    </w:p>
    <w:p>
      <w:r>
        <w:rPr>
          <w:b/>
        </w:rPr>
        <w:t>E. 1.1</w:t>
      </w:r>
    </w:p>
    <w:p>
      <w:r>
        <w:t>Le recourant a qualité pour agir au sens de l' art. 81 al. 1 let. a LTF ; il a agi en temps utile ( art. 100 al. 1 LTF ) contre une décision rendue en dernière instance cantonale ( art. 80 LTF ) et les conclusions formées à l'appui de son recours sont recevables au regard de l' art. 107 al. 2 LTF .</w:t>
      </w:r>
    </w:p>
    <w:p>
      <w:r>
        <w:rPr>
          <w:b/>
        </w:rPr>
        <w:t>E. 1.2</w:t>
      </w:r>
    </w:p>
    <w:p>
      <w:r>
        <w:t>Une nouvelle décision de prolongation de détention a été rendue le 15 mars 2011. Le recourant a par ailleurs été renvoyé en jugement, et la détention a été requise pour des motifs de sûreté. La détention du recourant repose ainsi actuellement sur un nouveau titre, distinct de celui qui fait l'objet du recours, de sorte qu'une admission de celui-ci ne pourrait avoir pour conséquence une remise en liberté. On peut dès lors se demander si le recourant conserve un intérêt actuel et pratique au traitement de son recours. Il se justifie néanmoins d'entrer en matière pour examiner la licéité de la détention préventive, dans la mesure où le recourant invoque notamment une violation de l' art. 5 CEDH (cf. ATF 136 I 274 consid. 1.3 p. 276; arrêts 1B_94/2010 du 22 juillet 2010 consid. 1.3; 1B_161/2010 du 12 juillet 2010 consid. 1 et les références citées, cf. arrêt CourEDH, Jusic c. Suisse du 2 décembre 2010, par. 56 s.).</w:t>
      </w:r>
    </w:p>
    <w:p>
      <w:r>
        <w:rPr>
          <w:b/>
        </w:rPr>
        <w:t>E. 2</w:t>
      </w:r>
    </w:p>
    <w:p>
      <w:r>
        <w:t>Invoquant le principe de la suprématie de la loi, le recourant soutient en premier lieu que le Ministère public n'avait pas la compétence pour prolonger la détention au 15 mars 2011. Conformément à l'ancien droit, le Tribunal d'accusation se limitait à contrôler la détention, chaque mois, de la détention préventive, sur la base d'un rapport du juge d'instruction chargé du dossier; il ne pouvait prolonger la détention à l'échéance du délai de contrôle. Dès le 1er janvier 2011, la compétence pour se prononcer sur la légalité d'une détention appartenait au tmc et non au Ministère public. La possibilité de présenter une demande de mise en liberté ne serait pas susceptible de guérir cette violation du principe de légalité.</w:t>
      </w:r>
    </w:p>
    <w:p>
      <w:r>
        <w:rPr>
          <w:b/>
        </w:rPr>
        <w:t>E. 2.1</w:t>
      </w:r>
    </w:p>
    <w:p>
      <w:r>
        <w:t>En matière de détention, le principe de légalité est rappelé à l' art. 31 al. 1 Cst. , qui reprend les termes de l' art. 5 par. 1 CEDH . La base légale doit présenter, dans ce domaine, une clarté et une prévisibilité suffisante pour permettre au citoyen de prévoir, avec un degré raisonnable dans les circonstances de la cause, les conséquences de nature à dériver d'un acte déterminé (CourEDH, arrêt Jusic c/Suisse du 2 décembre 2010).</w:t>
      </w:r>
    </w:p>
    <w:p>
      <w:r>
        <w:rPr>
          <w:b/>
        </w:rPr>
        <w:t>E. 2.2</w:t>
      </w:r>
    </w:p>
    <w:p>
      <w:r>
        <w:t>Selon la disposition transitoire de l' art. 448 al. 1 CPP , les procédure pendantes au moment de l'entrée en vigueur du code se poursuivent selon le nouveau droit, à moins que les dispositions qui suivent en disposent autrement. L' art. 448 al. 2 CPP prévoit que les actes de procédure ordonnés ou accomplis avant l'entrée en vigueur du présent code conservent leur validité. Cette disposition a pour but d'éviter que l'ensemble des décisions prises avant le changement de législation ne perdent leur validité au moment de l'entrée en vigueur du CPP. Il en va ainsi non seulement des décisions relatives à l'administration des preuves, mais aussi des décisions de séquestre ou de mise en détention, quand bien même ces décisions n'auraient pas été prises conformément aux dispositions de forme et de fond du CPP (Basler Kommentar BStPO n° 3 ad art. 448; DONATSCH/HANSJAKOB/LIEBER, Kommentar zur Schweizerischen Strafprozessordnung, n° 4 ad art. 448).</w:t>
      </w:r>
    </w:p>
    <w:p>
      <w:r>
        <w:rPr>
          <w:b/>
        </w:rPr>
        <w:t>E. 2.3</w:t>
      </w:r>
    </w:p>
    <w:p>
      <w:r>
        <w:t>Dans sa dernière teneur, le CPP/VD ne prévoyait pas de procédure de prolongation périodique de la détention. Le Tribunal d'accusation exerçait la haute surveillance, en vertu de laquelle le juge devait d'office lui adresser un rapport circonstancié, la première fois au plus tard 14 jours après l'arrestation, puis de mois en mois ( art. 61 CPP /VD). Le prévenu avait le droit de demander en tout temps sa mise en liberté, puis de recourir au Tribunal d'accusation, ce qui satisfaisait aux exigences de l' art. 5 par. 4 CEDH ( ATF 116 Ia 295 consid. 4).</w:t>
      </w:r>
    </w:p>
    <w:p>
      <w:r>
        <w:t>Selon le CPP, la détention provisoire est ordonnée par le tmc, sur proposition écrite et motivée du Ministère public. Le tmc peut fixer la durée maximale de la détention provisoire ( art. 226 al. 4 let. a CPP ). S'il ne le fait pas, une nouvelle demande de prolongation de la détention doit être présentée dans un délai de trois mois ( art. 227 al. 1 et al. 7 CPP ). Le détenu a la possibilité de présenter en tout temps (sous réserve d'un éventuel délai fixé par le tmc en vertu de l' art. 228 al. 5 CPP ) une demande de mise en liberté ( art. 228 CPP ).</w:t>
      </w:r>
    </w:p>
    <w:p>
      <w:r>
        <w:rPr>
          <w:b/>
        </w:rPr>
        <w:t>E. 2.4</w:t>
      </w:r>
    </w:p>
    <w:p>
      <w:r>
        <w:t>Il n'est pas contesté que la détention du recourant a été ordonnée et prolongée "selon les voies légales", en application du CPP/VD, jusqu'à la fin de l'année 2010. Au 1er janvier 2011, la mesure de détention conservait donc sa validité, en application de l' art. 448 al. 2 CPP . Le recourant reproche en vain au Ministère public d'avoir, de son propre chef, prolongé la détention jusqu'au 15 mars 2011. En effet, celui-ci n'a manifestement pas voulu décider formellement d'une telle prolongation, puisque la compétence en revient au tmc. Le Ministère public s'est borné à constater jusqu'à quand pouvait, selon lui, durer la prolongation "ex lege" de la détention. Sa communication revêt un caractère informationnel, et non décisionnel. Le rappel du droit de demander en tout temps une mise en liberté constitue, lui aussi, un simple renseignement. Le Ministère public n'a dès lors en rien violé la répartition des compétences opérée par le nouveau droit.</w:t>
      </w:r>
    </w:p>
    <w:p>
      <w:r>
        <w:rPr>
          <w:b/>
        </w:rPr>
        <w:t>E. 2.5</w:t>
      </w:r>
    </w:p>
    <w:p>
      <w:r>
        <w:t>Quand bien même le maintien en détention demeurait valable de plein droit, en application de l' art. 448 al. 2 CPP , on ne saurait considérer que cette mesure puisse perdurer indéfiniment, alors que la nouvelle législation impose un contrôle périodique. Le Ministère public a ainsi considéré que la prolongation s'étendait au 15 mars 2011, en s'inspirant du délai de trois mois fixé par le nouveau droit, et en faisant partir ce délai dès le dernier contrôle de la détention opéré par le Tribunal d'accusation (cf. SCHMID, Übergangsrecht der Schweizerischen Strafprozessordnung (StPO), Zurich 2010 p. 48). En l'absence d'une véritable décision de prolongation prise antérieurement, cette solution ne viole en rien le droit fédéral. Le recourant a d'ailleurs obtenu un contrôle judiciaire de sa détention bien avant l'échéance du délai de trois mois, puisque le tmc a statué sur sa demande de mise en liberté le 26 janvier 2011.</w:t>
      </w:r>
    </w:p>
    <w:p>
      <w:r>
        <w:rPr>
          <w:b/>
        </w:rPr>
        <w:t>E. 2.6</w:t>
      </w:r>
    </w:p>
    <w:p>
      <w:r>
        <w:t>L'arrêt attaqué est fondé sur une application correcte des dispositions cantonales et fédérales qui sont au demeurant suffisamment claires. Le principe de la légalité de la détention est ainsi respecté.</w:t>
      </w:r>
    </w:p>
    <w:p>
      <w:r>
        <w:rPr>
          <w:b/>
        </w:rPr>
        <w:t>E. 3</w:t>
      </w:r>
    </w:p>
    <w:p>
      <w:r>
        <w:t>Le recourant invoque ensuite les art. 31 al. 3, 5 CEDH et 9 Pacte ONU. Il reproche au Ministère public d'avoir contrôlé la légalité de la détention, alors qu'il allait ultérieurement soutenir l'accusation.</w:t>
      </w:r>
    </w:p>
    <w:p>
      <w:r>
        <w:rPr>
          <w:b/>
        </w:rPr>
        <w:t>E. 3.1</w:t>
      </w:r>
    </w:p>
    <w:p>
      <w:r>
        <w:t>L'argument tombe à faux. Comme cela est relevé ci-dessus, le Ministère public n'a pas statué sur le maintien en détention: il n'a fait que rappeler au recourant les incidences du changement de réglementation et la prolongation "ex lege" de la détention, expliquant ainsi qu'il n'entendait pas requérir une prolongation avant la nouvelle échéance.</w:t>
      </w:r>
    </w:p>
    <w:p>
      <w:r>
        <w:rPr>
          <w:b/>
        </w:rPr>
        <w:t>E. 3.2</w:t>
      </w:r>
    </w:p>
    <w:p>
      <w:r>
        <w:t>Invoquant les mêmes dispositions, le recourant relève que l'un des juges de la Chambre des recours pénale fonctionnait précédemment comme membre du Tribunal d'accusation du 1er janvier au 31 décembre 2010. La présence d'un même juge à différents stades de la procédure ne serait pas admissible. Le recourant ne soutient toutefois pas que l'un des magistrats de la cour cantonale serait effectivement intervenu précédemment; il ressort d'ailleurs du dossier que le Tribunal d'accusation n'a pas rendu de décision concernant le recourant depuis la mise en détention de celui-ci. Le grief, d'ordre général et insuffisamment motivé ( art. 42 al. 1 LTF ) doit être rejeté dans la mesure où il est recevable.</w:t>
      </w:r>
    </w:p>
    <w:p>
      <w:r>
        <w:rPr>
          <w:b/>
        </w:rPr>
        <w:t>E. 4</w:t>
      </w:r>
    </w:p>
    <w:p>
      <w:r>
        <w:t>Le recourant se plaint d'une inégalité de traitement dans l'application de l' art. 221 CPP . Il relève que l'un de ses comparses aurait été libéré alors qu'il avait les mêmes antécédents. Le recourant se voit reprocher huit cambriolages dans différentes boutiques, et une tentative, ainsi que des infractions à la LStup. Comme le relève la cour cantonale, le comparse remis en liberté n'est poursuivi que pour deux cambriolages, ce qui justifie un traitement distinct. Le recourant estime que tous deux auraient participé aux deux infractions les plus graves. Il n'étaye toutefois nullement cette affirmation, se sorte que son grief doit lui aussi être écarté dans la mesure où il est recevable.</w:t>
      </w:r>
    </w:p>
    <w:p>
      <w:r>
        <w:rPr>
          <w:b/>
        </w:rPr>
        <w:t>E. 5</w:t>
      </w:r>
    </w:p>
    <w:p>
      <w:r>
        <w:t>Enfin, c'est en vain que le recourant invoque le principe de la proportionnalité. Il relève avoir passé huit mois en détention provisoire, mais, compte tenu du nombre d'infractions commises, cette durée n'atteint pas encore celle de la peine susceptible d'être prononcée à son encontre. Le recourant se plaint aussi de l'absence de renvoi en jugement mais l'argument ne peut être retenu puisqu'il ressort du dossier que l'acte d'accusation a déjà été adressé au Tribunal correctionnel de l'arrondissement de la Côte, de sorte que le recourant devrait pouvoir être jugé prochainement.</w:t>
      </w:r>
    </w:p>
    <w:p>
      <w:r>
        <w:rPr>
          <w:b/>
        </w:rPr>
        <w:t>E. 6</w:t>
      </w:r>
    </w:p>
    <w:p>
      <w:r>
        <w:t>Le recours doit par conséquent être rejeté, dans la mesure où il est recevable. Le recourant a requis l'assistance judiciaire et les conditions en sont réunies. Me François Roux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