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124/2023 vom 20. März 2023</w:t>
      </w:r>
    </w:p>
    <w:p>
      <w:r>
        <w:t>Bundesgericht, 2023-03-20, DE</w:t>
      </w:r>
    </w:p>
    <w:p>
      <w:r>
        <w:rPr>
          <w:b/>
        </w:rPr>
        <w:t xml:space="preserve">Quelle: </w:t>
      </w:r>
      <w:r>
        <w:t>https://mcp.opencaselaw.ch/entscheid/bger_1B_124_2023</w:t>
      </w:r>
    </w:p>
    <w:p>
      <w:r>
        <w:t>FR: TF 1B 124/2023 du 20 mars 2023</w:t>
      </w:r>
    </w:p>
    <w:p>
      <w:r>
        <w:t>IT: TF 1B 124/2023 del 20 marzo 2023</w:t>
      </w:r>
    </w:p>
    <w:p>
      <w:pPr>
        <w:pStyle w:val="Heading2"/>
      </w:pPr>
      <w:r>
        <w:t>Regeste</w:t>
      </w:r>
    </w:p>
    <w:p>
      <w:r>
        <w:t>Strafverfahren; Anordnung Untersuchungshaft | Strafprozess</w:t>
      </w:r>
    </w:p>
    <w:p>
      <w:pPr>
        <w:pStyle w:val="Heading2"/>
      </w:pPr>
      <w:r>
        <w:t>Erwägungen</w:t>
      </w:r>
    </w:p>
    <w:p>
      <w:r>
        <w:rPr>
          <w:b/>
        </w:rPr>
        <w:t>E. 1.1</w:t>
      </w:r>
    </w:p>
    <w:p>
      <w:r>
        <w:t>Der angefochtene kantonal letztinstanzliche Entscheid betrifft die Anordnung von Untersuchungshaft ( Art. 220 Abs. 1 StPO ). Dagegen steht die Beschwerde in Strafsachen nach Art. 78 ff. BGG offen. Der Beschwerdeführer hat am vorinstanzlichen Verfahren teilgenommen und befindet sich, soweit aus den Akten ersichtlich, nach wie vor in Haft. Er ist deshalb nach Art. 81 Abs. 1 BGG zur Beschwerde berechtigt. Die weiteren Sachurteilsvoraussetzungen geben zu keinen Bemerkungen Anlass, weshalb auf die Beschwerde einzutreten ist.</w:t>
      </w:r>
    </w:p>
    <w:p>
      <w:r>
        <w:rPr>
          <w:b/>
        </w:rPr>
        <w:t>E. 1.2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mit Hinweisen).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sog. Fluchtgefahr) oder Personen beeinflusst oder auf Beweismittel einwirkt, um so die Wahrheitsfindung zu beeinträchtigen (Abs. 1 lit. b; sog. Kollusionsgefahr). An Stelle der Haft sind Ersatzmassnahmen anzuordnen, wenn sie den gleichen Zweck wie die Haft erfüllen ( Art. 212 Abs. 2 lit. c und Art. 237 ff. StPO ). Die Vorinstanz hat sowohl das Vorliegen eines dringenden Tatverdachts als auch der besonderen Haftgründe der Flucht- und Kollusionsgefahr bejaht.</w:t>
      </w:r>
    </w:p>
    <w:p>
      <w:r>
        <w:rPr>
          <w:b/>
        </w:rPr>
        <w:t>E. 3</w:t>
      </w:r>
    </w:p>
    <w:p>
      <w:r>
        <w:t>Der Beschwerdeführer rügt (einzig) insoweit eine Verletzung von Art. 221 StPO , als kein dringender Tatverdacht gegen ihn vorliege.</w:t>
      </w:r>
    </w:p>
    <w:p>
      <w:r>
        <w:rPr>
          <w:b/>
        </w:rPr>
        <w:t>E. 3.1</w:t>
      </w:r>
    </w:p>
    <w:p>
      <w:r>
        <w:t>Bei der Überprüfung des dringenden Tatverdachts im Sinne von Art. 221 Abs. 1 StPO ist keine erschöpfende Abwägung sämtlicher belastender und entlastender Beweise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(vgl. BGE 143 IV 330 E. 2.1; 316 E. 3.1 f.; Urteil 1B_81/2023 vom 27. Februar 2023 E. 3.1; je mit Hinweisen).</w:t>
      </w:r>
    </w:p>
    <w:p>
      <w:r>
        <w:rPr>
          <w:b/>
        </w:rPr>
        <w:t>E. 3.2</w:t>
      </w:r>
    </w:p>
    <w:p>
      <w:r>
        <w:t>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1B_81/2023 vom 27. Februar 2023 E. 3.2; 6B_926/2020 vom 20. Dezember 2022 E. 1.4.3; je mit weiteren Hinweisen).</w:t>
      </w:r>
    </w:p>
    <w:p>
      <w:r>
        <w:rPr>
          <w:b/>
        </w:rPr>
        <w:t>E. 3.3</w:t>
      </w:r>
    </w:p>
    <w:p>
      <w:r>
        <w:t>Die Vorinstanz hat zusammengefasst festgehalten, es sei unbestritten, dass der (über keinen Wohnsitz in der Schweiz verfügende) Beschwerdeführer sich zur Tatzeit in der Schweiz aufgehalten habe. Seine DNA sei auf dem Deckel einer PET-Flasche, deren Inhalt mutmasslich zum Spurenverwischen über eine Geldkassette geleert worden sei, im Inneren des Garagenbetriebs gefunden worden, und zwar entgegen seiner Angaben in einem der Öffentlichkeit nicht zugänglichen Büro. Der Einwand des Beschwerdeführers, er sei als Autohändler tätig und hätte daher seine DNA im Rahmen eines rechtmässigen Aufenthalts im fraglichen Garagenbetrieb hinterlassen können, zumal er viel trinke und immer Wasserflaschen mit sich führe, sei wenig glaubhaft. So habe er zunächst nähere Angaben über seine Geschäftstätigkeiten verweigert und erscheine ganz allgemein sein Aussageverhalten als wenig schlüssig, sollte er, wie behauptet, einer legalen Tätigkeit in der Schweiz nachgekommen sein. Auch die inzwischen erfolgte Nachfrage bei der geschädigten Garage sei sodann nicht zu Gunsten des Beschwerdeführers ausgefallen, da sich dort niemand an ihn erinnern könne und seine Angabe, die Garage als Autohändler besucht zu haben, nicht gestützt werde. Insgesamt lägen damit genug konkrete Anhaltspunkte für eine Beteiligung des Beschwerdeführers am ihm vorgeworfenen Einbruchdiebstahl vor, zumal zu Beginn der Strafuntersuchung noch keine allzu hohen Anforderungen an das Vorliegen eines dringenden Tatverdachts zu stellen seien.</w:t>
      </w:r>
    </w:p>
    <w:p>
      <w:r>
        <w:rPr>
          <w:b/>
        </w:rPr>
        <w:t>E. 3.4</w:t>
      </w:r>
    </w:p>
    <w:p>
      <w:r>
        <w:t>Der Beschwerdeführer begnügt sich im Wesentlich damit, seine bereits vor der Vorinstanz vorgetragene Argumentation zu bekräftigen, die gefundenen DNA-Spuren liessen sich mit seiner Tätigkeit als Autohändler erklären. Weiter kritisiert er die Vorinstanz, soweit diese sein Aussageverhalten als unglaubwürdig würdige. Er habe den Namen des Transportunternehmens am Schluss seiner Hafteinvernahme zu Protokoll gegeben und den Vor- und Nachnamen seines Cousins, der über die Dokumentation zu den Autokaufverträgen verfüge, offengelegt. Aufgrund der aktuellen Untersuchungsergebnisse könne ein dringender Tatverdacht daher nicht bejaht werden. Gemäss den unbestritten gebliebenen Feststellungen der Vorinstanz ist die Staatsanwaltschaft im Begriff, die Aussagen des Beschwerdeführers hinsichtlich des von ihm betriebenen Autohandels zu überprüfen. Bis dahin bleibt es diesbezüglich jedoch lediglich bei den unbelegten und unsubstanziierten Behauptungen des Beschwerdeführers. Diese lassen keine offensichtlich unrichtige Feststellung des entscheidwesentlichen Sachverhalts oder willkürliche Beweiswürdigung durch die Vorinstanz erkennen.</w:t>
      </w:r>
    </w:p>
    <w:p>
      <w:r>
        <w:rPr>
          <w:b/>
        </w:rPr>
        <w:t>E. 3.5</w:t>
      </w:r>
    </w:p>
    <w:p>
      <w:r>
        <w:t>Zusammengefasst hat die Vorinstanz kein Bundesrecht verletzt, wenn sie einen dringenden Tatverdacht hinsichtlich der untersuchungsgegenständlichen Delikte bejaht hat.</w:t>
      </w:r>
    </w:p>
    <w:p>
      <w:r>
        <w:rPr>
          <w:b/>
        </w:rPr>
        <w:t>E. 4</w:t>
      </w:r>
    </w:p>
    <w:p>
      <w:r>
        <w:t>Nach dem Gesagten ist die Beschwerde abzuweisen. Bei diesem Ausgang des Verfahrens sind die Gerichtskosten grundsätzlich dem unterliegenden Beschwerdeführer aufzuerlegen und keine Parteientschädigungen zuzusprechen ( Art. 66 und 68 BGG ). Indessen beantragt der Beschwerdeführer die Gewährung der unentgeltlichen Rechtspflege und Rechtsverbeiständung für das Verfahren vor Bundesgericht. Deren Gewährung setzt jedoch insbesondere voraus, dass der Beschwerdeführer nicht über die erforderlichen Mittel verfügt ( Art. 64 Abs. 1 BGG ). Der anwaltlich vertretene Beschwerdeführer behauptet zwar seine Mittellosigkeit, ohne diese jedoch auch nur ansatzweise zu belegen. Die als Beleg eingereichte Einsetzung einer amtlichen Verteidigung im kantonalen Verfahren ist entgegen der Ansicht des Beschwerdeführers hierfür von vornherein ungeeignet, da daraus nicht hervorgeht, ob die Einsetzung gestützt auf Art. 132 Abs. 1 lit. a oder lit. b StPO verfügt wurde, die Bedürftigkeit des Beschwerdeführers im kantonalen Verfahren somit, soweit aus der Beschwerde ersichtlich, gar nie geprüft wurde. Nachdem sich auch dem angefochtenen Entscheid keinerlei Sachverhaltsfeststellungen zur behaupteten Mittellosigkeit des Beschwerdeführers entnehmen lassen, ist das Gesuch mangels Nachweises der Mittellosigkeit abzuweisen (vgl. Urteil 1B_81/2023 vom 27. Februar 2023 E. 6 mit Hinweis). Auf eine Kostenauflage kann indessen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