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1B_124/2014 vom 21. Mai 2014</w:t>
      </w:r>
    </w:p>
    <w:p>
      <w:r>
        <w:t>Bundesgericht, 2014-05-21, DE</w:t>
      </w:r>
    </w:p>
    <w:p>
      <w:r>
        <w:rPr>
          <w:b/>
        </w:rPr>
        <w:t xml:space="preserve">Quelle: </w:t>
      </w:r>
      <w:r>
        <w:t>https://mcp.opencaselaw.ch/entscheid/bger_1B_124_2014</w:t>
      </w:r>
    </w:p>
    <w:p>
      <w:r>
        <w:t>FR: TF 1B_124/2014 du 21 mai 2014</w:t>
      </w:r>
    </w:p>
    <w:p>
      <w:r>
        <w:t>IT: TF 1B_124/2014 del 21 maggio 2014</w:t>
      </w:r>
    </w:p>
    <w:p>
      <w:pPr>
        <w:pStyle w:val="Heading2"/>
      </w:pPr>
      <w:r>
        <w:t>Erwägungen</w:t>
      </w:r>
    </w:p>
    <w:p>
      <w:r>
        <w:rPr>
          <w:b/>
        </w:rPr>
        <w:t>E. 1.1</w:t>
      </w:r>
    </w:p>
    <w:p>
      <w:r>
        <w:t>Angefochten ist ein kantonal letztinstanzlicher Entscheid in einer Strafsache; dagegen steht die Beschwerde in Strafsachen offen ( Art. 78 Abs. 1, Art. 80 Abs. 1, Art. 90 BGG ). Er schliesst das Strafverfahren gegen den Beschwerdeführer allerdings nicht ab; es handelt sich um einen Zwischenentscheid im Sinn von Art. 93 Abs. 1 BGG . Gegen einen solchen ist die Beschwerde zulässig, wenn er einen nicht wiedergutzumachenden Nachteil rechtlicher Natur ( BGE 133 IV 139 E. 4) bewirken kann (lit. a) oder wenn die Gutheissung der Beschwerde sofort einen Endentscheid herbeiführen und dadurch einen bedeutenden Aufwand an Zeit und Kosten für ein weitläufiges Beweisverfahren ersparen würde (lit. b). In der vorliegenden Konstellation fällt die Voraussetzung von lit. b von vornherein ausser Betracht.</w:t>
      </w:r>
    </w:p>
    <w:p>
      <w:r>
        <w:rPr>
          <w:b/>
        </w:rPr>
        <w:t>E. 1.2.1</w:t>
      </w:r>
    </w:p>
    <w:p>
      <w:r>
        <w:t>Der Beschwerdeführer bringt vor, es drohe ihm ein nicht wieder gutzumachender Nachteil, wenn die umstrittenen Einvernahmeprotokolle in den Akten blieben und von den erstinstanzlichen Strafrichtern zur Kenntnis genommen würden, da diesfalls das gerichtliche Beweisverfahren durch ungültige und widerrechtlich erlangte Beweise "kontaminiert" werde. Im Urteil 1B_445/2013 vom 14. Februar 2014 habe das Bundesgericht in einer "nahezu identischen Fragestellung" das Vorliegen eines nicht wiedergutzumachenden Nachteils bejaht.</w:t>
      </w:r>
    </w:p>
    <w:p>
      <w:r>
        <w:rPr>
          <w:b/>
        </w:rPr>
        <w:t>E. 1.2.2</w:t>
      </w:r>
    </w:p>
    <w:p>
      <w:r>
        <w:t>Zwischenentscheide über die Beweisführung im Allgemeinen und über Beweisverwertungsverbote sowie die Entfernung von Beweismitteln aus den Akten im Besonderen bewirken in der Regel keine nicht wieder gutzumachenden Nachteile, können doch entsprechende, von der Staatsanwaltschaft abgelehnte Begehren im Hauptverfahren dem Strafrichter (erneut) unterbreitet werden (vgl. Art. 339 Abs. 2 lit. d StPO ; Urteile 1B_2/2013 vom 5. Juni 2113 E. 1.2; 1B_17/2013 vom 12. Februar 2013 E. 1.2; 1B_584/2011 vom 12. Dezember 2011 E. 3.2). Vom Strafrichter kann und muss erwartet werden, dass er grundsätzlich in der Lage ist, verwertbare und unverwertbare Beweismittel auseinanderzuhalten und sein Urteil in tatsächlicher Hinsicht ausschliesslich auf erstere zu stützen, gehört doch die Prüfung der ihm vorgelegten Beweise auf ihre Verwertbarkeit und ihre anschliessende Würdigung zu seinen Kernaufgaben.</w:t>
      </w:r>
    </w:p>
    <w:p>
      <w:r>
        <w:rPr>
          <w:b/>
        </w:rPr>
        <w:t>E. 1.2.3</w:t>
      </w:r>
    </w:p>
    <w:p>
      <w:r>
        <w:t>Einzig bei besonders heiklen Beweisverfahren ist es in bestimmten Konstellationen ausnahmsweise kaum zu gewährleisten, dass unverwertbare Beweismittel bei der Beweiswürdigung zuverlässig ausgeblendet werden, wenn sie dem Strafgericht bekannt sind. So hat beispielsweise im das Urteil 1B_445/2013 betreffenden Strafverfahren ein Beschuldiger, der durch die Aussagen eines Kleinkindes belastet wurde, in einer formell nicht verwertbaren Einvernahme verschiedene sexuelle Übergriffe auf das Kind eingestanden. In einer solchen Situation ist es wohl auch für einen erfahrenen Strafrichter kaum zu vermeiden, bei der naturgemäss schwierigen Würdigung der Aussagen des Kleinkindes das ihm bekannte, formell nicht verwertbare (aber möglicherweise materiell überzeugende) Geständnis des Beschuldigten unterschwellig mitzuberücksichtigen. In solchen Ausnahmefällen droht dem Beschuldigten daher ein nicht wieder gutzumachender Nachteil bereits dadurch, dass der erkennende Strafrichter vom umstrittenen Beweismittel Kenntnis erhält; dementsprechend muss er diesfalls nach Art. 93 Abs. 1 lit. a BGG ausnahmsweise die Möglichkeit haben, die Weigerung der Staatsanwaltschaft, das umstrittene Beweismittel aus den Verfahrensakten zu entfernen, bis vor Bundesgericht anzufechten.</w:t>
      </w:r>
    </w:p>
    <w:p>
      <w:r>
        <w:rPr>
          <w:b/>
        </w:rPr>
        <w:t>E. 1.2.4</w:t>
      </w:r>
    </w:p>
    <w:p>
      <w:r>
        <w:t>Das vorliegende Strafverfahren betrifft mittelschwere Delikte; Opfer sind keine zu beklagen. Es ist für die damit befassten Richter - anders als das im oben angeführten Urteil zur Debatte stehende Verfahren wegen Kindsmissbrauchs und Vergewaltigung - keineswegs besonders belastend. In beweismässiger Hinsicht bietet es keine besonderen Schwierigkeiten. Der Beschwerdeführer wird durch die Wahrnehmungen der Polizeibeamten und verschiedene Sachbeweise (Auswertung einer Überwachungskamera, Ergebnisse der Spurensicherung) belastet, die darauf hindeuten, dass er zur Tatzeit am Tatort war, und keine Hinweise dafür liefern, dass dies auch noch für unbekannte Dritte zutreffen könnte. Die vier Einvernahmeprotokolle vom 27. und vom 28. Dezember 2012 bzw. die darin enthaltenen Geständnisse sind daher Beweismittel unter anderen. Die Aussagen des Beschwerdeführers sind zudem, möglicherweise aufgrund von psychischen Problemen, widersprüchlich und sprunghaft; seine Geständnisse dürften daher für sich allein genommen kaum geeignet sein, ihn der ihm vorgeworfenen Straftaten zu überführen. Zusammenfassend handelt es sich um ein in jeder Hinsicht "normales", keine besonderen Schwierigkeiten aufwerfendes Strafverfahren, dessen Ausgang in beweismässiger Hinsicht auch nicht allein von der Verwertbarkeit der umstrittenen Einvernahmeprotokolle abhängt. Es ist daher jedenfalls nicht ersichtlich, inwiefern die erkennenden Strafrichter nicht in der Lage sein sollten, die Beweislage objektiv zu bewerten, selbst wenn sie die vier Einvernahmeprotokolle oder einzelne von ihnen als unverwertbar von der Beweiswürdigung ausschliessen müssten. Anders als im Fall 1B_445/2013 steht zudem keineswegs von vornherein fest, dass diese Einvernahmen effektiv unverwertbar sind.</w:t>
      </w:r>
    </w:p>
    <w:p>
      <w:r>
        <w:rPr>
          <w:b/>
        </w:rPr>
        <w:t>E. 1.2.5</w:t>
      </w:r>
    </w:p>
    <w:p>
      <w:r>
        <w:t>Dem Beschwerdeführer droht somit durch den Verbleib der vier umstrittenen Einvernahmeprotokolle in den Strafakten kein nicht wieder gutzumachender Nachteil. Auf die Beschwerde ist nicht einzutreten.</w:t>
      </w:r>
    </w:p>
    <w:p>
      <w:r>
        <w:rPr>
          <w:b/>
        </w:rPr>
        <w:t>E. 2</w:t>
      </w:r>
    </w:p>
    <w:p>
      <w:r>
        <w:t>Bei diesem Ausgang des Verfahrens wird der Beschwerdeführer kostenpflichtig ( Art. 66 Abs. 1 BGG ). Er hat zwar ein Gesuch um unentgeltliche Rechtspflege und Verbeiständung gestellt, welches indessen abzuweisen ist, da die Beschwerde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