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124/2010 vom 18. Mai 2010</w:t>
      </w:r>
    </w:p>
    <w:p>
      <w:r>
        <w:t>Bundesgericht, 2010-05-18, FR</w:t>
      </w:r>
    </w:p>
    <w:p>
      <w:r>
        <w:rPr>
          <w:b/>
        </w:rPr>
        <w:t xml:space="preserve">Quelle: </w:t>
      </w:r>
      <w:r>
        <w:t>https://mcp.opencaselaw.ch/entscheid/bger_1B_124_2010</w:t>
      </w:r>
    </w:p>
    <w:p>
      <w:r>
        <w:t>FR: TF 1B 124/2010 du 18 mai 2010</w:t>
      </w:r>
    </w:p>
    <w:p>
      <w:r>
        <w:t>IT: TF 1B 124/2010 del 18 maggio 2010</w:t>
      </w:r>
    </w:p>
    <w:p>
      <w:pPr>
        <w:pStyle w:val="Heading2"/>
      </w:pPr>
      <w:r>
        <w:t>Regeste</w:t>
      </w:r>
    </w:p>
    <w:p>
      <w:r>
        <w:t>détention avant jugement, refus de mise en liberté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du canton de Vaud du 12 septembre 1967 (CPP/VD; RSV 312.01).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ch. 1, 2 et 3 CPP/VD).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s.; art. 59 al. 1 in initio CPP/VD). S'agissant d'une restriction grave à la liberté personnelle, le Tribunal fédéral examine librement ces questions, sous réserve toutefois de l'appréciation des faits, revue sous l'angle restreint des art. 97 al. 1 et 105 al. 2 LTF ( ATF 135 I 71 consid. 2.5 p. 73 s. et les références citées).</w:t>
      </w:r>
    </w:p>
    <w:p>
      <w:r>
        <w:rPr>
          <w:b/>
        </w:rPr>
        <w:t>E. 3</w:t>
      </w:r>
    </w:p>
    <w:p>
      <w:r>
        <w:t>Dans un premier grief, le recourant conteste l'existence de charges suffisantes.</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w:t>
      </w:r>
    </w:p>
    <w:p>
      <w:r>
        <w:rPr>
          <w:b/>
        </w:rPr>
        <w:t>E. 3.2</w:t>
      </w:r>
    </w:p>
    <w:p>
      <w:r>
        <w:t>En l'espèce, le recourant ne conteste pas les infractions à la LStup et à l' art. 285 CP qui lui sont reprochées. Il allègue toutefois qu'il n'existe aucun indice suffisant pour retenir les charges de menaces et d'injures. Selon lui, les accusations portées par B.________ devraient être écartées, car elles ne seraient corroborées par aucun élément probant. En remettant en cause la version des faits de la prénommée, le recourant perd de vue qu'il n'appartient pas au juge de la détention de faire une véritable appréciation de la crédibilité des témoignages à charge; il lui appartient uniquement de vérifier que le maintien en détention avant jugement repose sur des indices de culpabilité suffisants. Or, les déclarations de la plaignante en question constituent des indices parmi d'autres et elles peuvent être prises en compte dans la mesure où elles n'apparaissent pas d'emblée invraisemblables, compte tenu notamment des antécédents du recourant. Au demeurant, le maintien en détention repose sur plusieurs autres chefs d'accusation que le recourant ne conteste pas, de sorte qu'il y a lieu d'admettre qu'il existe des charges suffisantes à son encontre.</w:t>
      </w:r>
    </w:p>
    <w:p>
      <w:r>
        <w:rPr>
          <w:b/>
        </w:rPr>
        <w:t>E. 4</w:t>
      </w:r>
    </w:p>
    <w:p>
      <w:r>
        <w:t>Le recourant conteste également l'existence d'un risque de récidive. Il soutient en substance que les faits dont l'autorité redoute la réitération ne sauraient être qualifiés de graves et il prétend qu'il faut relativiser les conclusions de l'expertise psychiatrique.</w:t>
      </w:r>
    </w:p>
    <w:p>
      <w:r>
        <w:rPr>
          <w:b/>
        </w:rPr>
        <w:t>E. 4.1</w:t>
      </w:r>
    </w:p>
    <w:p>
      <w:r>
        <w:t>Selon la jurisprudence, le maintien en détention préventive se justifie s'il y a lieu de présumer, avec une certaine vraisemblance, qu'il existe un danger de récidive. Il convient de faire preuve de retenue dans l'appréciation du risque: le maintien en détention ne peut se justifier pour ce motif que si le pronostic est très défavorable et que les délits dont l'autorité redoute la réitération sont graves ( ATF 133 I 270 consid. 2.2 p. 276; 125 I 60 consid. 3a p. 62; 123 I 268 consid. 2c p. 270 et les arrêts cités).</w:t>
      </w:r>
    </w:p>
    <w:p>
      <w:r>
        <w:rPr>
          <w:b/>
        </w:rPr>
        <w:t>E. 4.2</w:t>
      </w:r>
    </w:p>
    <w:p>
      <w:r>
        <w:t>En l'occurrence, l'expertise psychiatrique à laquelle le recourant a été soumis conclut sans équivoque à l'existence d'un risque de récidive, ce risque étant même qualifié d'élevé. Les experts considèrent que la pathologie psychiatrique dont souffre le recourant est grave, dans la mesure elle n'est pas reconnue par l'intéressé, qui ne se remet pas en question. Par ailleurs, contrairement à ce que le recourant semble croire, les actes qu'on lui reproche ne sont pas anodins. En effet, les éléments qu'il reconnait dénotent déjà un niveau d'agressivité verbale élevé, des menaces de mort ayant été proférées dans des circonstances sensibles ayant trait à la prise en charge de son enfant et de la mère de celui-ci. L'expertise psychiatrique relève à cet égard que le recourant craint de perdre son fils et qu'il devient particulièrement agressif lorsque des mesures de placement sont évoquées par l'autorité. Pour le surplus, il y a également lieu de prendre en compte les antécédents de l'intéressé, qui a déjà été condamné notamment pour lésions corporelles simples qualifiées et pour violation de la LStup. En définitive, c'est à bon droit que le Tribunal d'accusation a admis l'existence d'un risque de récidive.</w:t>
      </w:r>
    </w:p>
    <w:p>
      <w:r>
        <w:rPr>
          <w:b/>
        </w:rPr>
        <w:t>E. 5</w:t>
      </w:r>
    </w:p>
    <w:p>
      <w:r>
        <w:t>Le recourant se plaint enfin d'une violation du principe de la proportionnalité, au motif que la durée de la détention préventive serait excessive au regard de la peine encourue.</w:t>
      </w:r>
    </w:p>
    <w:p>
      <w:r>
        <w:rPr>
          <w:b/>
        </w:rPr>
        <w:t>E. 5.1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peine privative de liberté à laquelle il faut s'attendre concrètement en cas de condamnation ( ATF 133 I 168 consid. 4.1 p. 170; 132 I 21 consid. 4.1 p. 27; 107 Ia 256 consid. 2 et 3 p. 257 ss et les références).</w:t>
      </w:r>
    </w:p>
    <w:p>
      <w:r>
        <w:rPr>
          <w:b/>
        </w:rPr>
        <w:t>E. 5.2</w:t>
      </w:r>
    </w:p>
    <w:p>
      <w:r>
        <w:t>En se fondant uniquement sur les infractions qu'il admet avoir commises, le recourant prétend que la détention subie à ce jour dépasse la peine encourue. Il perd ainsi de vue que d'autres charges pèsent sur lui et que c'est au juge du fond qu'il appartiendra de statuer sur celles-ci. Pour rappel, le recourant est renvoyé en jugement devant le Tribunal correctionnel pour injures ( art. 177 CP ), menaces ( art. 180 CP ), violence ou menace contre les autorités et les fonctionnaires ( art. 285 CP ) et infraction et contravention à la LStup. Compte tenu de l'ensemble de ces charges, de la relative gravité de certaines accusations et des mauvais antécédents du recourant, les quelque neuf mois de détention subis à ce jour sont encore compatibles avec la peine encourue concrètement en cas de condamnation. Pour le surplus, le recourant a été renvoyé en jugement par ordonnance du 23 mars 2010, de sorte qu'il n'apparaît pas que sa détention préventive doive se prolonger au delà de la durée admissible. Cela étant, l'instruction étant terminée, il conviendra de fixer dans les plus brefs délais l'audience de jugement afin de ne pas rallonger cette détention.</w:t>
      </w:r>
    </w:p>
    <w:p>
      <w:r>
        <w:rPr>
          <w:b/>
        </w:rPr>
        <w:t>E. 5.3</w:t>
      </w:r>
    </w:p>
    <w:p>
      <w:r>
        <w:t>Evoquant sommairement "d'autres mesures" que la détention préventive, le recourant demande sa libération "aux conditions que justice dira". Il se plaint donc implicitement d'une violation de la proportionnalité au motif que des mesures moins incisives que la détention pourraient être envisagées. Il ne fournit cependant aucune motivation sur ce point et il ne mentionne même pas les mesures qui pourraient être mises en oeuvre. Au demeurant, on ne voit pas d'emblée quelles mesures pourraient se substituer à la détention préventive pour pallier le risque de récidive existant en l'espèce et il n'appartient pas au Tribunal fédéral d'investiguer d'office sur ce point.</w:t>
      </w:r>
    </w:p>
    <w:p>
      <w:r>
        <w:rPr>
          <w:b/>
        </w:rPr>
        <w:t>E. 6</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Donovan Tésaury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