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1B_122/2021 vom 12. März 2021</w:t>
      </w:r>
    </w:p>
    <w:p>
      <w:r>
        <w:t>Bundesgericht, 2021-03-12, DE</w:t>
      </w:r>
    </w:p>
    <w:p>
      <w:r>
        <w:rPr>
          <w:b/>
        </w:rPr>
        <w:t xml:space="preserve">Quelle: </w:t>
      </w:r>
      <w:r>
        <w:t>https://mcp.opencaselaw.ch/entscheid/bger_1B_122_2021</w:t>
      </w:r>
    </w:p>
    <w:p>
      <w:r>
        <w:t>FR: TF 1B_122/2021 du 12 mars 2021</w:t>
      </w:r>
    </w:p>
    <w:p>
      <w:r>
        <w:t>IT: TF 1B_122/2021 del 12 marzo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erhob gegen die Nichtanhandnahmeverfügung der Staatsanwaltschaft Winterthur/Unterland vom 4. Januar 2021 Beschwerde. Die III. Strafkammer des Obergerichts des Kantons Zürich forderte A.________ mit Verfügung vom 18. Januar 2021 auf, zur Deckung der allfällig ihn treffenden Prozesskosten eine Prozesskaution von einstweilen Fr. 1'500.-- zu leisten. Mit einer weiteren Verfügung vom 11. Februar 2021 forderte die III. Strafkammer A.________ auf, eine weitere Sicherheitsleistung im Sinne von Art. 383 StPO von Fr. 2'000.-- zu leisten, ansonsten auf die Beschwerde nicht eingetreten werde. Zur Begründung führte sie aus, dass die Beschwerdegegnerin nunmehr durch einen Rechtsanwalt verteidigt werde. Im Falle des Unterliegens müsste A.________ nebst den Gerichtskosten auch die Prozessentschädigung für die Beschwerdegegnerin begleichen. Die bisher geleistete Kaution von Fr. 1'500.-- würde dazu kaum ausreichen.</w:t>
      </w:r>
    </w:p>
    <w:p>
      <w:r>
        <w:rPr>
          <w:b/>
        </w:rPr>
        <w:t>E. 2</w:t>
      </w:r>
    </w:p>
    <w:p>
      <w:r>
        <w:t>Mit Eingabe vom 9. März 2021 führt A.________ Beschwerde in Strafsachen gegen die Verfügung der III. Strafkammer des Obergerichts des Kantons Zürich vom 11. Februar 2021. Das Bundesgericht verzichtet auf die Einholung von Vernehmlassungen.</w:t>
      </w:r>
    </w:p>
    <w:p>
      <w:r>
        <w:rPr>
          <w:b/>
        </w:rPr>
        <w:t>E. 3</w:t>
      </w:r>
    </w:p>
    <w:p>
      <w:r>
        <w:t>Nach Art. 42 Abs. 2 BGG ist in der Begründung einer Beschwerde in gedrängter Form darzulegen, inwiefern der angefochtene Entscheid Recht verletzt. Die Bestimmungen von Art. 95 ff. BGG nennen die vor Bundesgericht zulässigen Beschwerdegründe.</w:t>
      </w:r>
    </w:p>
    <w:p>
      <w:r>
        <w:t>Der Beschwerdeführer, der sich mit der Begründung der III. Strafkammer nicht auseinandersetzt, nennt keinen zulässigen Beschwerdegrund. Aus seinen Ausführungen ergibt sich nicht ansatzweise, inwiefern die Verfügung der III. Strafkammer rechts- bzw. verfas-sungswidrig sein soll. Die Beschwerde genügt den gesetzlichen Formerfordernissen offensichtlich nicht, weshalb auf sie im vereinfachten Verfahren nach Art. 108 Abs. 1 BGG nicht einzutreten ist.</w:t>
      </w:r>
    </w:p>
    <w:p>
      <w:r>
        <w:rPr>
          <w:b/>
        </w:rPr>
        <w:t>E. 4</w:t>
      </w:r>
    </w:p>
    <w:p>
      <w:r>
        <w:t>Ausnahmsweise kann davon abgesehen werden, für das bundesgerichtliche Verfahren Kosten zu erheben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