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122/2013 vom 11. April 2013</w:t>
      </w:r>
    </w:p>
    <w:p>
      <w:r>
        <w:t>Bundesgericht, 2013-04-11, DE</w:t>
      </w:r>
    </w:p>
    <w:p>
      <w:r>
        <w:rPr>
          <w:b/>
        </w:rPr>
        <w:t xml:space="preserve">Quelle: </w:t>
      </w:r>
      <w:r>
        <w:t>https://mcp.opencaselaw.ch/entscheid/bger_1B_122_2013</w:t>
      </w:r>
    </w:p>
    <w:p>
      <w:r>
        <w:t>FR: TF 1B 122/2013 du 11 avril 2013</w:t>
      </w:r>
    </w:p>
    <w:p>
      <w:r>
        <w:t>IT: TF 1B 122/2013 del 11 aprile 2013</w:t>
      </w:r>
    </w:p>
    <w:p>
      <w:pPr>
        <w:pStyle w:val="Heading2"/>
      </w:pPr>
      <w:r>
        <w:t>Regeste</w:t>
      </w:r>
    </w:p>
    <w:p>
      <w:r>
        <w:t>Ausschluss der Öffentlichkeit von der Hauptverhandlung | Strafprozess</w:t>
      </w:r>
    </w:p>
    <w:p>
      <w:pPr>
        <w:pStyle w:val="Heading2"/>
      </w:pPr>
      <w:r>
        <w:t>Erwägungen</w:t>
      </w:r>
    </w:p>
    <w:p>
      <w:r>
        <w:rPr>
          <w:b/>
        </w:rPr>
        <w:t>E. 1</w:t>
      </w:r>
    </w:p>
    <w:p>
      <w:r>
        <w:t>Mit dem angefochtenen Entscheid hat es das Appellationsgericht kantonal letztinstanzlich abgelehnt, auf eine Beschwerde gegen einen vom Instruktionsrichter im erstinstanzlichen Strafverfahren verfügten Ausschluss der Öffentlichkeit einzutreten. Dagegen ist die Beschwerde in Strafsachen im Sinn der Art. 78 ff. BGG grundsätzlich zulässig, und der Beschwerdeführer ist befugt, sie zu erheben. Der Entscheid schliesst das Strafverfahren gegen diesen allerdings nicht ab, es handelt sich um einen Zwischenentscheid, gegen den die Beschwerde nach Art. 93 Abs. 1 BGG zulässig ist, wenn er einen nicht wiedergutzumachenden Nachteil bewirken kann (lit. a) oder wenn die Gutheissung der Beschwerde sofort einen Endentscheid herbeiführen und dadurch einen bedeutenden Aufwand an Zeit und Kosten für ein weitläufiges Beweisverfahren ersparen würde (lit. b). Diese Voraussetzungen sind offensichtlich nicht erfüllt. Der Beschwerdeführer erleidet durch den vom Instruktionsrichter verfügten Ausschluss der Öffentlichkeit keinen nicht wiedergutzumachenden Nachteil, weil er an der Hauptverhandlung dem Strafgericht beantragen kann, die Öffentlichkeit zuzulassen, was von diesem unverzüglich vorfrageweise zu beurteilen ist ( Art. 339 Abs. 2 lit. e und Abs. 3 StPO ). Der Einwand des Beschwerdeführers, es sei realistischerweise nicht damit zu rechnen, dass das Strafgericht in Dreierbesetzung den Entscheid des Instruktionsrichters umstosse, ist eine reine Spekulation. Es ist nicht ersichtlich, dass die beisitzenden Richter diese Frage nicht eigenständig zu beurteilen und den Instruktionsrichter bzw. Präsidenten gegebenenfalls zu überstimmen in der Lage sind. Die Voraussetzung von Art. 93 Abs. 1 lit. b BGG ist ohnehin nicht erfüllt, da die Gutheissung der Beschwerde keinen Endentscheid herbeiführen könnte.</w:t>
      </w:r>
    </w:p>
    <w:p>
      <w:r>
        <w:rPr>
          <w:b/>
        </w:rPr>
        <w:t>E. 2</w:t>
      </w:r>
    </w:p>
    <w:p>
      <w:r>
        <w:t>Auf die Beschwerde ist nicht einzutreten. Bei diesem Ausgang des Verfahrens wird der Beschwerdeführer kostenpflichtig ( Art. 66 Abs. 1 BGG ). Er hat zwar ein Gesuch um unentgeltliche Rechtspflege und Verbeiständung gestellt, welches indessen abzuweisen ist, da die Beschwerde aussichtslos war ( Art. 64 Abs. 1 und 2 BGG ). Mit dem Entscheid in der Sache wird der Antrag, das Strafgericht zur Absetzung bzw. Verschiebung der auf den 16. April 2013 angesetzten Hauptverhandlung anzuhalten,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