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121/2010 vom 16. Juni 2010</w:t>
      </w:r>
    </w:p>
    <w:p>
      <w:r>
        <w:t>Bundesgericht, 2010-06-16, FR</w:t>
      </w:r>
    </w:p>
    <w:p>
      <w:r>
        <w:rPr>
          <w:b/>
        </w:rPr>
        <w:t xml:space="preserve">Quelle: </w:t>
      </w:r>
      <w:r>
        <w:t>https://mcp.opencaselaw.ch/entscheid/bger_1B_121_2010</w:t>
      </w:r>
    </w:p>
    <w:p>
      <w:r>
        <w:t>FR: TF 1B 121/2010 du 16 juin 2010</w:t>
      </w:r>
    </w:p>
    <w:p>
      <w:r>
        <w:t>IT: TF 1B 121/2010 del 16 giugno 2010</w:t>
      </w:r>
    </w:p>
    <w:p>
      <w:pPr>
        <w:pStyle w:val="Heading2"/>
      </w:pPr>
      <w:r>
        <w:t>Regeste</w:t>
      </w:r>
    </w:p>
    <w:p>
      <w:r>
        <w:t>levée d'un séquestre; autorisation de procéder au nettoyage du lieu d'un crime | Procédure pénale</w:t>
      </w:r>
    </w:p>
    <w:p>
      <w:pPr>
        <w:pStyle w:val="Heading2"/>
      </w:pPr>
      <w:r>
        <w:t>Erwägungen</w:t>
      </w:r>
    </w:p>
    <w:p>
      <w:r>
        <w:rPr>
          <w:b/>
        </w:rPr>
        <w:t>E. 1</w:t>
      </w:r>
    </w:p>
    <w:p>
      <w:r>
        <w:t>La décision attaquée a été rendue par le Président de la Cour de cassation cantonale, saisie d'un recours contre un jugement de condamnation. Elle est fondée sur le droit cantonal de procédure pénale (art. 434 al. 1 du code de procédure pénale vaudois - CPP/VD -, selon lequel le président prend toutes les mesures urgentes) et touche selon le recourant à l'administration des preuves, puisqu'il s'agit d'autoriser certains travaux de nettoyage sur les lieux du crime présumé. Le recours en matière pénale est par conséquent ouvert, la question de savoir s'il existe un risque d'altération des preuves pouvant être tranchée sur le fond.</w:t>
      </w:r>
    </w:p>
    <w:p>
      <w:r>
        <w:rPr>
          <w:b/>
        </w:rPr>
        <w:t>E. 1.1</w:t>
      </w:r>
    </w:p>
    <w:p>
      <w:r>
        <w:t>Le recourant a qualité pour agir, en tant que personne condamnée en première instance (art. 81 al. 1 let. b ch. 1 LTF).</w:t>
      </w:r>
    </w:p>
    <w:p>
      <w:r>
        <w:rPr>
          <w:b/>
        </w:rPr>
        <w:t>E. 1.2</w:t>
      </w:r>
    </w:p>
    <w:p>
      <w:r>
        <w:t>La décision attaquée a été rendue en dernière instance cantonale au sens de l' art. 80 al. 1 LTF : un recours n'est possible à la Cour de cassation que contre les décisions prises en matière de détention ( art. 434 al. 2 CPP /VD).</w:t>
      </w:r>
    </w:p>
    <w:p>
      <w:r>
        <w:rPr>
          <w:b/>
        </w:rPr>
        <w:t>E. 1.3</w:t>
      </w:r>
    </w:p>
    <w:p>
      <w:r>
        <w:t>Compte tenu de la nature incidente de la décision attaquée, il y aurait lieu de s'interroger sur l'existence d'un préjudice irréparable au sens de l' art. 93 al. 1 let. a LTF . Le recourant se plaignant d'un risque de disparition de preuves, un tel préjudice peut être admis, au stade de la recevabilité tout au moins.</w:t>
      </w:r>
    </w:p>
    <w:p>
      <w:r>
        <w:rPr>
          <w:b/>
        </w:rPr>
        <w:t>E. 2</w:t>
      </w:r>
    </w:p>
    <w:p>
      <w:r>
        <w:t>Le recourant invoque les art. 29 al. 2 Cst. et 112 LTF. Il estime que la décision du Président ne serait pas suffisamment motivée, faute d'indiquer les base légales applicables, les motifs de l'autorisation et la nature des travaux de nettoyage.</w:t>
      </w:r>
    </w:p>
    <w:p>
      <w:r>
        <w:rPr>
          <w:b/>
        </w:rPr>
        <w:t>E. 2.1</w:t>
      </w:r>
    </w:p>
    <w:p>
      <w:r>
        <w:t>Le droit d'être entendu, consacré à l' art. 29 al. 2 Cst. , implique pour l'autorité l'obligation de motiver sa décision. Il ne lui impose cependant pas d'exposer et de discuter tous les faits, moyens de preuve et griefs invoqués par les parties; l'autorité peut, au contraire, se limiter à ceux qui lui paraissent pertinents pour fonder sa décision ( ATF 134 I 83 consid. 4.1 p. 88; 133 III 439 consid. 3.3 p. 445 et la jurisprudence citée).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(ATF 2C_505/2009 consid. 3.1).</w:t>
      </w:r>
    </w:p>
    <w:p>
      <w:r>
        <w:rPr>
          <w:b/>
        </w:rPr>
        <w:t>E. 2.2</w:t>
      </w:r>
    </w:p>
    <w:p>
      <w:r>
        <w:t>La nature des travaux envisagés ressort clairement de la requête présentée par l'administrateur de la succession: Il s'agit du nettoyage de la villa et en particulier de l'enlèvement de la nourriture périmée. Cette requête figurait au dossier et a manifestement été communiquée au recourant, puisque la décision attaquée fait état de son opposition. La décision attaquée n'avait donc pas à en rappeler les termes ou à présenter un état de fait plus détaillé. Le Président expose ensuite que la situation a changé et que les motifs d'opposition qui pouvaient être retenus avant que le juge du fond ne statue, ont disparu depuis le jugement rendu par le Tribunal criminel. Les bases légales de la décision attaquée, soit l' art. 434 CPP /VD qui consacre la compétence du Président et l' art. 223 CPP /VD relatif au séquestre probatoire, sont connues du recourant et n'avaient pas non plus à être rappelées explicitement.</w:t>
      </w:r>
    </w:p>
    <w:p>
      <w:r>
        <w:rPr>
          <w:b/>
        </w:rPr>
        <w:t>E. 2.3</w:t>
      </w:r>
    </w:p>
    <w:p>
      <w:r>
        <w:t>En définitive, le recourant s'est trouvé en mesure de faire valoir l'ensemble de ses arguments à l'encontre de la décision attaquée. Celle-ci ne souffre d'aucun manque de motivation.</w:t>
      </w:r>
    </w:p>
    <w:p>
      <w:r>
        <w:rPr>
          <w:b/>
        </w:rPr>
        <w:t>E. 3</w:t>
      </w:r>
    </w:p>
    <w:p>
      <w:r>
        <w:t>Sur le fond, le recourant se plaint d'arbitraire dans l'application des dispositions cantonales précitées. Il estime que les moyens de preuve doivent être conservés jusqu'à droit jugé définitivement, la Cour de cassation pouvant ordonner des actes d'instruction complémentaires. Le recourant invoque aussi, à ce propos, les art. 6 CEDH et 29 al. 2 Cst.</w:t>
      </w:r>
    </w:p>
    <w:p>
      <w:r>
        <w:rPr>
          <w:b/>
        </w:rPr>
        <w:t>E. 3.1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et la jurisprudence citée), ce qu'il appartient au recourant de démontrer en vertu de l' art. 106 al. 2 LTF ( ATF 134 I 263 consid. 3.1 p. 265; 133 I 149 consid. 3.1 p. 153 et la jurisprudence citée).</w:t>
      </w:r>
    </w:p>
    <w:p>
      <w:r>
        <w:rPr>
          <w:b/>
        </w:rPr>
        <w:t>E. 3.2</w:t>
      </w:r>
    </w:p>
    <w:p>
      <w:r>
        <w:t>Le recourant se contente d'invoquer, de manière générale, la possibilité d'un éventuel complément d'instruction. Il ne prétend toutefois pas qu'il envisagerait lui-même de requérir un tel complément, qui nécessiterait que la villa demeure dans son état actuel. Ses griefs, appellatoires, apparaissent ainsi irrecevables. Ils seraient au demeurant mal fondés. Le recourant a été jugé une première fois le 27 juin 2008 et ce jugement a été confirmé par la Cour de cassation cantonale. Aucune mesure d'instruction complémentaire n'avait alors été requise par le recourant, en rapport avec le lieu du crime. La demande de révision a été admise - en raison d'un témoignage nouveau - et le recourant a été rejugé, à nouveau sans réquisition de sa part quant à des mesures d'instruction dans la villa. Les faits remontent au mois de décembre 2005. Les enquêteurs ont procédé à des investigations, y compris des prélèvements ADN. La constitution d'un dossier photographique, ainsi que la reconstitution filmée à laquelle le recourant a participé, attestent de l'état des lieux. Dans ces conditions, rien ne permet de redouter que le nettoyage de la villa, dans la limite autorisée par le Président, puisse avoir pour conséquence une disparition d'éléments de preuve déterminants.</w:t>
      </w:r>
    </w:p>
    <w:p>
      <w:r>
        <w:rPr>
          <w:b/>
        </w:rPr>
        <w:t>E. 4</w:t>
      </w:r>
    </w:p>
    <w:p>
      <w:r>
        <w:t>Le recours doit par conséquent être rejeté, dans la mesure où il est recevable. Le recourant a requis l'assistance judiciaire, mais, comme cela a été constaté dans l'arrêt du 1er juin 2010 relatif à la détention du recourant (1B_149/2010), il ne démontre pas être privé de ressources au point de ne plus pouvoir assurer ses frais de défense. La demande d'assistance judiciaire doit par conséquent être rejetée et les frais judiciaires mis à la charge du recourant, conformément à l' art. 66 al. 1 LTF . Une indemnité de dépens est en outre allouée à l'intimé B.________, à la charge du recourant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