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120/2016 vom 30. März 2016</w:t>
      </w:r>
    </w:p>
    <w:p>
      <w:r>
        <w:t>Bundesgericht, 2016-03-30, DE</w:t>
      </w:r>
    </w:p>
    <w:p>
      <w:r>
        <w:rPr>
          <w:b/>
        </w:rPr>
        <w:t xml:space="preserve">Quelle: </w:t>
      </w:r>
      <w:r>
        <w:t>https://mcp.opencaselaw.ch/entscheid/bger_1B_120_2016</w:t>
      </w:r>
    </w:p>
    <w:p>
      <w:r>
        <w:t>FR: TF 1B 120/2016 du 30 mars 2016</w:t>
      </w:r>
    </w:p>
    <w:p>
      <w:r>
        <w:t>IT: TF 1B 120/2016 del 30 marzo 2016</w:t>
      </w:r>
    </w:p>
    <w:p>
      <w:pPr>
        <w:pStyle w:val="Heading2"/>
      </w:pPr>
      <w:r>
        <w:t>Regeste</w:t>
      </w:r>
    </w:p>
    <w:p>
      <w:r>
        <w:t>Strafverfahren; Rechtsverweigerung / -verzögerung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Beschwerde wird in Bezug auf den am 4. März 2016 ergangenen Strafbefehl zuständigkeitshalber an die Staatsanwaltschaft des Kantons Zug zur weiteren Behandlung überwiesen.</w:t>
      </w:r>
    </w:p>
    <w:p>
      <w:r>
        <w:rPr>
          <w:b/>
        </w:rPr>
        <w:t>E. 3</w:t>
      </w:r>
    </w:p>
    <w:p>
      <w:r>
        <w:t>Es werden keine Kosten erhoben.</w:t>
      </w:r>
    </w:p>
    <w:p>
      <w:r>
        <w:rPr>
          <w:b/>
        </w:rPr>
        <w:t>E. 4</w:t>
      </w:r>
    </w:p>
    <w:p>
      <w:r>
        <w:t>Dieses Urteil wird dem Beschwerdeführer, der Staatsanwaltschaft des Kantons Zug, I. Abteilung, und dem Obergericht des Kantons Zug schriftlich mitgeteilt. Lausanne, 30. März 2016 Im Namen der I. öffentlich-rechtlichen Abteilung des Schweizerischen Bundesgerichts Der Präsident: Fonjallaz 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