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1B_120/2013 vom 17. Juni 2013</w:t>
      </w:r>
    </w:p>
    <w:p>
      <w:r>
        <w:t>Bundesgericht, 2013-06-17, DE</w:t>
      </w:r>
    </w:p>
    <w:p>
      <w:r>
        <w:rPr>
          <w:b/>
        </w:rPr>
        <w:t xml:space="preserve">Quelle: </w:t>
      </w:r>
      <w:r>
        <w:t>https://mcp.opencaselaw.ch/entscheid/bger_1B_120_2013</w:t>
      </w:r>
    </w:p>
    <w:p>
      <w:r>
        <w:t>FR: TF 1B_120/2013 du 17 juin 2013</w:t>
      </w:r>
    </w:p>
    <w:p>
      <w:r>
        <w:t>IT: TF 1B_120/2013 del 17 giugno 2013</w:t>
      </w:r>
    </w:p>
    <w:p>
      <w:pPr>
        <w:pStyle w:val="Heading2"/>
      </w:pPr>
      <w:r>
        <w:t>Erwägungen</w:t>
      </w:r>
    </w:p>
    <w:p>
      <w:r>
        <w:rPr>
          <w:b/>
        </w:rPr>
        <w:t>E. 1</w:t>
      </w:r>
    </w:p>
    <w:p>
      <w:r>
        <w:t>Der angefochtene Entscheid betrifft eine Strafsache im Sinne von Art. 78 Abs. 1 BGG und wurde von einer letzten kantonalen Instanz gefällt ( Art. 80 Abs. 1 und 2 BGG ). Es handelt sich um einen selbstständig eröffneten Zwischenentscheid, der das Strafverfahren nicht abschliesst. Angefochten ist lediglich die Bestellung der amtlichen Verteidigung. Für den Anwalt, dessen Ernennung als amtlicher Verteidiger widerrufen wird, kann der Entscheid einen Endentscheid im Sinne von Art. 90 BGG darstellen oder einen Zwischenentscheid, der einen nicht wieder gutzumachenden Nachteil im Sinne von Art. 93 Abs. 1 lit. a BGG bewirkt (vgl. BGE 133 IV 335 E. 5 S. 339). Im vorliegenden Fall liegt kein Widerruf der Ernennung des Beschwerdeführers als amtlicher Verteidiger vor. Vielmehr wurde seine Ernennung als amtlicher Verteidiger vom 4. Juli 2012 im Rechtsmittelverfahren gegen diese Verfügung vom Obergericht aufgehoben. Insoweit liegt für den Beschwerdeführer ein Endentscheid im Sinne von Art. 90 BGG vor.</w:t>
      </w:r>
    </w:p>
    <w:p>
      <w:r>
        <w:rPr>
          <w:b/>
        </w:rPr>
        <w:t>E. 2</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amtliche Verteidiger ist in der nicht abschliessenden Aufzählung von Art. 81 Abs. 1 lit. b BGG nicht als zur Beschwerde berechtigte Person aufgeführt. Indessen anerkennt die Rechtsprechung ein rechtlich geschütztes Interesse des amtlichen Verteidigers im Sinne von Art. 81 Abs. 1 lit. b BGG , soweit es um seine Ansprüche aus der Ernennung zum amtlichen Verteidiger geht (namentlich Anspruch auf Entschädigung und eigene Verfahrensrechte bei Ausübung des Mandats; BGE 133 IV 335 E. 5 S. 340 mit Hinweisen; vgl. Marc Thommen, Basler Kommentar BGG, 2. Auflage 2011, N. 75 zu Art. 81; kritisch Niklaus Schmid, Handbuch des schweizerischen Strafprozessrechts, 2009, Rz. 1652 Fn. 515). In Bezug auf die Höhe der Entschädigung für die amtliche Verteidigung bejaht das Bundesgericht auch die Beschwerdeberechtigung der Staatsanwaltschaft (Urteil 6B_611/2012 vom 19. April 2013 E. 2, zur Publikation vorgesehen). Die erwähnte Rechtsprechung zur Legitimation des amtlichen Verteidigers bezieht sich auf Fälle, in welchen die Entschädigung des amtlichen Verteidigers umstritten ist oder die Beendigung eines Mandats als amtlicher Verteidiger zur Diskussion steht. Wurde ein Rechtsanwalt indessen nicht als amtlicher Verteidiger eingesetzt, so hat er kein rechtlich geschütztes Interesse, diesen Entscheid mit Beschwerde in Strafsachen anzufechten (Urteil des Bundesgerichts 1B_705/2011 vom 9. Mai 2012 E. 2 mit Hinweisen).</w:t>
      </w:r>
    </w:p>
    <w:p>
      <w:r>
        <w:t>In der vorliegenden Angelegenheit wurde der Beschwerdeführer mit Verfügung der Oberstaatsanwaltschaft vom 4. Juli 2012 zum amtlichen Verteidiger ernannt. Diese Verfügung hat das Obergericht mit dem hier angefochtenen Beschluss vom 13. Februar 2013 aufgehoben und Rechtsanwalt Bernhard Hediger als amtlichen Verteidiger mit Wirkung auf den 3. Juli 2012 bestellt. Der Beschwerdeführer war in der vorliegenden Strafsache nicht für den Angeschuldigten tätig und beruft sich nicht auf einen Anspruch auf Entschädigung oder auf eigene Verfahrensrechte, die ihm als amtlicher Verteidiger zustehen würden. Er hat somit kein rechtlich geschütztes Interesse an der Beschwerdeführung im Sinne von Art. 81 Abs. 1 lit. b BGG , weshalb auf die Beschwerde nicht einzutreten ist.</w:t>
      </w:r>
    </w:p>
    <w:p>
      <w:r>
        <w:rPr>
          <w:b/>
        </w:rPr>
        <w:t>E. 3</w:t>
      </w:r>
    </w:p>
    <w:p>
      <w:r>
        <w:t>Bei diesem Ausgang des bundesgerichtlichen Verfahrens sind die Gerichtskosten dem unterliegenden Beschwerdeführer aufzuerlegen ( Art. 66 Abs. 1 BGG ). Dieser hat dem anwaltlich vertretenen Beschwerdegegner eine angemessene Parteientschädigung auszurichten (Art. 68Abs.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