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1B_11/2020 vom 23. Januar 2020</w:t>
      </w:r>
    </w:p>
    <w:p>
      <w:r>
        <w:t>Bundesgericht, 2020-01-23, FR</w:t>
      </w:r>
    </w:p>
    <w:p>
      <w:r>
        <w:rPr>
          <w:b/>
        </w:rPr>
        <w:t xml:space="preserve">Quelle: </w:t>
      </w:r>
      <w:r>
        <w:t>https://mcp.opencaselaw.ch/entscheid/bger_1B_11_2020</w:t>
      </w:r>
    </w:p>
    <w:p>
      <w:r>
        <w:t>FR: TF 1B_11/2020 du 23 janvier 2020</w:t>
      </w:r>
    </w:p>
    <w:p>
      <w:r>
        <w:t>IT: TF 1B_11/2020 del 23 gennaio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t>Le recourant n'a pas indiqué par quelle voie de droit il entendait agir au Tribunal fédéral. Cette imprécision ne saurait toutefois lui nuire si son recours remplit les exigences légales de la voie de droit qui lui est ouverte (cf. ATF 138 I 367 consid. 1.1 p. 369 s.).</w:t>
      </w:r>
    </w:p>
    <w:p>
      <w:r>
        <w:t>En l'occurrence, le recours en matière pénale ( art. 78 al. 1 LTF ) est ouvert contre une décision relative à la détention provisoire ou pour des motifs de sûreté au sens des art. 212 ss CPP . Le recours a été formé en temps utile ( art. 100 al. 1 LTF ), contre une décision prise en dernière instance cantonale ( art. 80 LTF ) qui touche le recourant dans ses intérêts juridiquement protégés (art. 81 al. 1 let. a et b ch. 1 LTF) et les conclusions présentées sont recevables au regard de l' art. 107 al. 2 LTF . Il y a donc lieu d'entrer en matière.</w:t>
      </w:r>
    </w:p>
    <w:p>
      <w:r>
        <w:rPr>
          <w:b/>
        </w:rPr>
        <w:t>E. 2</w:t>
      </w:r>
    </w:p>
    <w:p>
      <w:r>
        <w:t>Le recourant, se plaignant d'un établissement arbitraire des faits, soutient que l'état de fait devrait être complété sur certains points et produit divers documents à cet égard. Etant rappelé qu'aucun fait nouveau ni preuve nouvelle ne peut être présenté à moins de résulter de la décision de l'autorité précédente (cf. art. 99 al. 1 LTF ), force est de constater que certains des éléments que le recourant invoque ressortent déjà de la décision entreprise. Il n'établit de plus pas l'influence que pourraient avoir les autres compléments requis sur l'issue du litige ( art. 97 al. 1 LTF ). Il manque dès lors d'établir l'arbitraire dans l'établissement des faits, respectivement le caractère arbitraire de leur omission, alors qu'il lui appartient d'indiquer de façon précise en quoi les constatations de fait des juges cantonaux ou l'absence de celles-ci sont insoutenables au sens de l' art. 9 Cst. (arrêt 9C_413/2019 du 4 décembre 2019 consid. 3, destiné à la publication; cf. également ATF 140 III 264 consid. 2.3 p. 266). Quoi qu'il en soit, compte tenu des développements qui suivent (cf. infra consid. 3 et 4), il n'y a pas lieu de compléter respectivement de modifier l'état de fait tel que retenu par la juridiction cantonale ni d'examiner plus avant la recevabilité des documents produits par le recourant à l'appui de son argumentation, les éléments invoqués par ce dernier n'apparaissant pas jouer un rôle décisif sur l'issue du litige.</w:t>
      </w:r>
    </w:p>
    <w:p>
      <w:r>
        <w:rPr>
          <w:b/>
        </w:rPr>
        <w:t>E. 3</w:t>
      </w:r>
    </w:p>
    <w:p>
      <w:r>
        <w:t>Si le recourant conteste, sans autres développements, la connotation pénale des faits qui lui sont reprochés, il ne remet toutefois plus formellement en cause l'existence de soupçons suffisants de la commission d'infractions ( art. 221 al. 1 CPP ), si bien qu'il n'y a pas lieu d'examiner plus avant ce point.</w:t>
      </w:r>
    </w:p>
    <w:p>
      <w:r>
        <w:t>Il soutient en revanche que le risque de réitération retenu par la cour cantonale ne serait pas fondé.</w:t>
      </w:r>
    </w:p>
    <w:p>
      <w:r>
        <w:rPr>
          <w:b/>
        </w:rPr>
        <w:t>E. 3.1</w:t>
      </w:r>
    </w:p>
    <w:p>
      <w:r>
        <w:t>En vertu de l' art. 221 al. 1 let .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ss). Le risque de récidive peut également se fonder sur les infractions faisant l'objet de la procédure pénale en cours, si le prévenu est fortement soupçonné - avec une probabilité confinant à la certitude - de les avoir commises ( ATF 143 IV 9 consid. 2.3.1 p. 12 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s.).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particulièrement graves (arrêt 1B_595/2019 du 10 janvier 2020 consid. 4 destiné à la publication, ATF 143 IV 9 consid. 2.7 p. 15; voir pour des exemples, les arrêts 1B_470/2019 du 16 octobre 2019 consid. 2.2 et 1B_32/2017 du 4 mai 2017 consid. 3.3.5 et les arrêts cités).</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plus récemment arrêt 1B_470/2019 du 16 octobre 2019 consid. 2.1).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3.2</w:t>
      </w:r>
    </w:p>
    <w:p>
      <w:r>
        <w:t>En l'espèce, la cour cantonale a retenu que le recourant présentait toujours manifestement un risque de réitération. Elle a pris en considération son casier judiciaire faisant notamment état de cinq condamnations entre les mois de juin 2014 et novembre 2018 pour escroquerie, respectivement abus de confiance, alors qu'il est prévenu de ces infractions-ci dans la présente procédure. Le recourant est en outre actuellement mis en cause pour onze cas différents commis entre 2010 et 2018 dans les cantons de Vaud et de Fribourg au préjudice de diverses personnes, pour un montant total de l'ordre de 70'000 francs. Vu les circonstances personnelles relatives au prévenu et celles dans lesquelles ces nouvelles infractions auraient été commises, la cour cantonale a relevé que celui-ci s'exposait à une condamnation pour le crime d'escroquerie par métier (arrêt attaqué consid. 3.3 et 5.3). Le prévenu avait par ailleurs, au regard des faits qui lui étaient reprochés, persisté dans ses agissements, après et malgré une première période de détention provisoire entre les mois de décembre 2017 et de février 2018. Dans ces circonstances, la cour cantonale a fait part de ses doutes quant à la réelle prise de conscience du recourant et du fait qu'il renoncera, en cas de libération, à commettre à nouveau des agissements similaires à ceux qui lui sont reprochés pour obtenir de l'argent, le cas échéant simplement pour subvenir à ses besoins. Cette appréciation était renforcée par le caractère très préoccupant de sa situation financière, ce nonobstant sa mise en faillite volontaire, dans la mesure où l'intéressé, au bénéfice d'une formation de mécanicien, était sans emploi de longue date, sans revenu et criblé de dettes. Elle a, en définitive, qualifié de graves les faits reprochés au recourant, compte tenu des sommes importantes soustraites à des particuliers, de sorte qu'il importait peu qu'ils ne constituent que des infractions contre le patrimoine. Elle est ainsi parvenue à la conclusion, à l'instar des autorités pénales inférieures, que seule la détention provisoire du recourant permettrait d'éviter que le prévenu ne récidive. De plus, aucune mesure de substitution n'apparaissait à ce stade suffisante pour pallier le risque retenu, le recourant n'en proposant d'ailleurs aucune à l'appui de son recours.</w:t>
      </w:r>
    </w:p>
    <w:p>
      <w:r>
        <w:rPr>
          <w:b/>
        </w:rPr>
        <w:t>E. 3.3</w:t>
      </w:r>
    </w:p>
    <w:p>
      <w:r>
        <w:t>Ce raisonnement ne prête pas le flanc à la critique. Le recourant ne développe du reste aucune argumentation propre à le remettre en cause. En substance, le risque de récidive paraît élevé vu les cinq précédentes condamnations du recourant pour abus de confiance ou escroquerie, décisions qui ne l'ont pas dissuadé de continuer dans ses agissements. Le recourant a de plus commis des nouvelles infractions, alors même qu'il avait subi des périodes de détention. Il est en outre désormais exposé à une condamnation pour escroquerie par métier. Ces différents éléments conduisent effectivement à constater une intensification et une aggravation de l'activité délictueuse du prévenu.</w:t>
      </w:r>
    </w:p>
    <w:p>
      <w:r>
        <w:t>Le recourant ne revient par ailleurs pas sur la régularité avec laquelle il a agi au préjudice de nombreux lésés en leur soustrayant une somme totale de l'ordre de 70'000 francs. Il ne conteste de plus pas que le caractère astucieux de la majeure partie des faits qui lui sont reprochés ressort du rapport d'investigation du 29 juillet 2019 et de ses propres déclarations du 1</w:t>
      </w:r>
    </w:p>
    <w:p>
      <w:r>
        <w:t>er juillet 2019 (décision entreprise consid. 3.3 p. 8). Il ne discute pas non plus le nombre élevé des actes qui lui sont imputés, de nature diverse - certes uniquement dirigés contre le patrimoine -, mais qui vont en augmentant, malgré les avertissements judiciaires, ce qui ne manque pas d'inquiéter vis-à-vis de la protection des biens d'autrui. Se contentant de contester la nature pénale de ses actes, il ne développe aucune argumentation au sujet de la qualification juridique pouvant en découler, soit notamment les infractions d'escroquerie par métier, d'abus de confiance et de faux dans les titres (cf. décision cantonale consid. 5.3 p. 12 s.). Quoi qu'il en soit, on ne saurait faire grief à la cour cantonale d'avoir considéré, au vu des éléments retenus, qu'il existait des soupçons suffisants de la commission de telles infractions de la part du recourant. Dans ces circonstances et eu égard à l'intensité du risque de récidive existant, on ne saurait considérer que les infractions qui lui sont reprochées et celles qui pourraient être réitérées seraient dénuées de la gravité nécessaire permettant au sens de la jurisprudence d'appliquer l' art. 221 al. 1 let . c CPP en matière de crimes ou délits contre le patrimoine. Cela vaut d'autant plus que le recourant paraît avoir agi de manière régulière, durant une longue période, au préjudice de nombreux lésés en leur soustrayant des sommes importantes. On ne voit en outre pas en quoi l'inaction du Ministère public ainsi que le comportement supposé des parties s'agissant d'éventuelles requêtes de mesures d'instruction auraient un effet sur l'existence du risque de réitération du recourant. Son argumentation à ce sujet est sans pertinence. Pour le reste, le recourant ne développe aucune argumentation propre à remettre en cause les doutes émis par la cour cantonale au sujet de sa prétendue prise de conscience; cette autorité, au contraire de ce que le recourant allègue, a tenu compte de ses démarches en vue de faire prononcer sa faillite volontaire. Cet élément, ainsi que les lettres d'excuses auxquelles il fait allusion et ses déclarations au sujet des démarches qu'il entendait entreprendre à sa sortie de prison, ne sont quoi qu'il en soit pas de nature à démontrer une volonté sérieuse et constante de s'amender. En effet, l'ensemble des éléments évoqués par la cour cantonale révèlent, au contraire, un défaut de prise de conscience ainsi qu'un mépris persistant de l'ordre juridique suisse. Ce grief peut donc être écarté.</w:t>
      </w:r>
    </w:p>
    <w:p>
      <w:r>
        <w:rPr>
          <w:b/>
        </w:rPr>
        <w:t>E. 4</w:t>
      </w:r>
    </w:p>
    <w:p>
      <w:r>
        <w:t>Le recourant se plaint enfin d'une violation du principe de la proportionnalité en lien avec la durée de la détention provisoire subie.</w:t>
      </w:r>
    </w:p>
    <w:p>
      <w:r>
        <w:rPr>
          <w:b/>
        </w:rPr>
        <w:t>E. 4.1</w:t>
      </w:r>
    </w:p>
    <w:p>
      <w:r>
        <w:t>L' 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 ATF 143 IV 168 consid. 5.1 p. 173 et la référence citée). Il convient d'accorder une attention particulière à cette limite, car le juge de première instance ou d'appel pourrait être enclin à prendre en considération dans la fixation de la peine la durée de la détention avant jugement à imputer selon l' art. 51 CP ( ATF 139 IV 270 consid. 3.1 p. 275 et la référence citée).</w:t>
      </w:r>
    </w:p>
    <w:p>
      <w:r>
        <w:rPr>
          <w:b/>
        </w:rPr>
        <w:t>E. 4.2</w:t>
      </w:r>
    </w:p>
    <w:p>
      <w:r>
        <w:t>On relève qu'en l'espèce, le recourant, dont la durée de la détention provisoire serait portée, selon la cour cantonale, à 14 mois, est prévenu de différentes infractions, qui ont trait à des faits distincts, s'étendant sur plusieurs années et concernant de nombreux lésés ainsi qu'un préjudice important. De plus, outre que le recourant a des antécédents spécifiques en la matière, et ce malgré des périodes de détention subies, il y a lieu de tenir compte des peines-menaces prévues pour les infractions en cause - par exemple l' art. 146 al. 2 CP (escroquerie par métier) prévoit une peine privative de liberté de dix ans au plus ou une peine pécuniaire de 90 jours-amende au moins - et de la possible application de l' art. 49 al. 1 CP en matière de concours d'infractions. Il n'est dès lors pas inconcevable, comme le recourant l'allègue, même si cela serait la première peine privative de liberté prononcée, que celle-ci soit supérieure à une année. Par ailleurs, il apparaît que la durée de la procédure pourrait s'expliquer en particulier par l'existence de coauteurs. Sur ce point, le recourant affirme que le Ministère public aurait précisé qu'une disjonction de causes serait ordonnée; cela ne ressort toutefois pas de la décision entreprise et le recourant ne se réfère à aucune pièce en particulier. Quoi qu'il en soit, au vu des éléments retenus par la cour cantonale, on ne discerne jusqu'à ce stade aucune violation du principe de la célérité, étant précisé que le recourant ne conclut pas formellement à ce qu'une telle violation soit constatée (art. 42 al. 1 et 2 et 106 al. 2 LTF).</w:t>
      </w:r>
    </w:p>
    <w:p>
      <w:r>
        <w:t>Cela étant, la cour cantonale pouvait encore considérer que, sous l'angle de sa durée, au vu de la quantité des infractions commises, respectivement reprochées, de la gravité de leur peine-menace et du nombre de lésés, la détention provisoire ne dépassait pas l'étendue prévisible de la peine concrètement encourue et respectait donc en l'état le principe de proportionnalité. Elle n'a dès lors pas non plus violé le droit fédéral en confirmant l'appréciation du tribunal de première instance sur ce point.</w:t>
      </w:r>
    </w:p>
    <w:p>
      <w:r>
        <w:t>Enfin, il y a lieu de constater, avec la cour cantonale, qu'aucune mesure de substitution ne paraît propre à éviter tout risque de récidive, ce que le recourant ne prétend d'ailleurs pas, de sorte que la mesure de détention provisoire peut être confirmée.</w:t>
      </w:r>
    </w:p>
    <w:p>
      <w:r>
        <w:rPr>
          <w:b/>
        </w:rPr>
        <w:t>E. 5</w:t>
      </w:r>
    </w:p>
    <w:p>
      <w:r>
        <w:t>Le recours doit par conséquent être rejeté, dans la mesure où il est recevable.</w:t>
      </w:r>
    </w:p>
    <w:p>
      <w:r>
        <w:t>Les conditions posées à l' art. 64 al. 1 LTF étant réunies, il convient de mettre le recourant au bénéfice de l'assistance judiciaire, de lui désigner Me Jérôme Reymond comme avocat d'office et d'allouer à celui-ci une indemnité à titre d'honoraires, à payer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