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11/2013 vom 11. März 2013</w:t>
      </w:r>
    </w:p>
    <w:p>
      <w:r>
        <w:t>Bundesgericht, 2013-03-11, DE</w:t>
      </w:r>
    </w:p>
    <w:p>
      <w:r>
        <w:rPr>
          <w:b/>
        </w:rPr>
        <w:t xml:space="preserve">Quelle: </w:t>
      </w:r>
      <w:r>
        <w:t>https://mcp.opencaselaw.ch/entscheid/bger_1B_11_2013</w:t>
      </w:r>
    </w:p>
    <w:p>
      <w:r>
        <w:t>FR: TF 1B 11/2013 du 11 mars 2013</w:t>
      </w:r>
    </w:p>
    <w:p>
      <w:r>
        <w:t>IT: TF 1B 11/2013 del 11 marzo 2013</w:t>
      </w:r>
    </w:p>
    <w:p>
      <w:pPr>
        <w:pStyle w:val="Heading2"/>
      </w:pPr>
      <w:r>
        <w:t>Regeste</w:t>
      </w:r>
    </w:p>
    <w:p>
      <w:r>
        <w:t>Ausstandsbegehren | Zuständigkeitsfragen, Garantie des Wohnsitzrichters und des v...</w:t>
      </w:r>
    </w:p>
    <w:p>
      <w:pPr>
        <w:pStyle w:val="Heading2"/>
      </w:pPr>
      <w:r>
        <w:t>Erwägungen</w:t>
      </w:r>
    </w:p>
    <w:p>
      <w:r>
        <w:rPr>
          <w:b/>
        </w:rPr>
        <w:t>E. 1.1</w:t>
      </w:r>
    </w:p>
    <w:p>
      <w:r>
        <w:t>Gemäss Art. 78 Abs. 1 in Verbindung mit Art. 80 und Art. 92 Abs. 1 BGG steht gegen kantonal letztinstanzliche Entscheide über den Ausstand von Magistratspersonen im Strafprozess und weiteren Beteiligten auf Behördenseite, die in die Entscheidfindung einbezogen sind, wie namentlich Gerichtsschreiber direkt die Beschwerde in Strafsachen an das Bundesgericht offen. Die Person, die den Ausstand beantragt und am vorinstanzlichen Verfahren teilgenommen hat, ist nach Art. 81 Abs. 1 BGG zur Beschwerde berechtigt (vgl. das Urteil des Bundesgerichts 1B_263/2012 vom 8. Juni 2012 E. 1). Der Beschwerdeführer erfüllt diese Voraussetzungen. Auf die im Übrigen frist- und formgerecht erhobene Beschwerde ist somit einzutreten.</w:t>
      </w:r>
    </w:p>
    <w:p>
      <w:r>
        <w:rPr>
          <w:b/>
        </w:rPr>
        <w:t>E. 1.2</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 Das Bundesgericht prüft nur die vom Beschwerdeführer erhobenen und begründeten Rügen (vgl. Art. 42 Abs. 2 BGG sowie BGE 133 II 249 E. 1.4 S. 254 f.). Im vorliegenden Fall rügt der Beschwerdeführer zulässigerweise die Verletzung von Bundesrecht und von Völkerrecht, namentlich der Strafprozessordnung, der Bundesverfassung sowie der Europäischen Menschenrechtskonvention.</w:t>
      </w:r>
    </w:p>
    <w:p>
      <w:r>
        <w:rPr>
          <w:b/>
        </w:rPr>
        <w:t>E. 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Ziff. 1 EMRK . Danach hat jede Person Anspruch darauf, dass ihre Sache von einem unparteiischen, unvoreingenommenen und unbefangenen Richter unter Einschluss weiterer am Entscheid wesentlich beteiligten Gerichtspersonen wie insbesondere Gerichtsschreiber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(vgl. Urteil des Bundesgerichts 6B_814/2011 vom 30. August 2012, zur Publikation vorgesehen; BGE 131 I 113 E. 3.4 S. 116; Urteil 1B_703/2011 vom 3. Februar 2012 E. 2.3 und 2.4; analog für den Ausstand eines Staatsanwalts BGE 138 IV 142 ). Bei der Anwendung von Art. 56 lit. f StPO ist entscheidendes Kriterium, ob bei objektiver Betrachtungsweise der Ausgang des Verfahrens noch als offen erscheint (MARKUS BOOG, in: Niggli/Heer/Wiprächtiger [Hrsg.], Basler Kommentar, Schweizerische Strafprozessordnung, 2011, N. 38 zu Art. 56 StPO ).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(BOOG, a.a.O., N. 59 zu Art. 56 StPO ; vgl. auch BGE 115 Ia 400 E. 3b S. 404; Urteil des Bundesgerichts 1B_34/2011 vom 16. Februar 2011 E. 2.3.2). Nach Art. 58 Abs. 1 StPO ist das Ausstandsgesuch ohne Verzug zu stellen, sobald die betroffene Partei vom Ausstandsgrund Kenntnis hat, wobei die den Ausstand begründenden Tatsachen glaubhaft zu machen sind.</w:t>
      </w:r>
    </w:p>
    <w:p>
      <w:r>
        <w:rPr>
          <w:b/>
        </w:rPr>
        <w:t>E. 3</w:t>
      </w:r>
    </w:p>
    <w:p>
      <w:r>
        <w:t>Die Vorinstanz begründete ihren für den Beschwerdeführer negativen Entscheid mit zwei Argumenten: Erstens erachtete sie sein Ausstandsgesuch als verspätet, und zweitens verneinte sie, dass bei den beiden Gerichtspersonen, um deren Ausstand der Beschwerdeführer ersucht, der Anschein von Befangenheit oder der Voreingenommenheit besteht. Im Ergebnis wies das Obergericht daher die bei ihm eingereichte Beschwerde ab, soweit es darauf eintrat. Der Beschwerdeführer beanstandet dieses Dispositiv mit der Begründung, entweder sei wegen Verspätung auf das Gesuch nicht einzutreten oder dann sei dieses mangels Ausstandsgrundes in der Sache abzuweisen gewesen. Eine Kombination von beidem sei ausgeschlossen, weshalb das angefochtene Urteil unklar bzw. fehlerhaft sei. Indessen geht aus diesem mit genügender Klarheit hervor, dass die Vorinstanz dem Ansinnen des Beschwerdeführers aus doppeltem Grund nicht Folge leistete. In erster Linie erachtete sie das Gesuch als verspätet. Ergänzend beurteilte sie dieses als unbegründet. Mit dem gewählten Dispositiv unterstrich das Obergericht diese zweifache Begründung. Darin liegt kein Verstoss gegen massgebliches Bundesrecht. Entgegen dem weiteren Einwand des Beschwerdeführers prüfte das Obergericht sodann die inhaltliche Begründetheit des Ausstandsgesuchs in genügendem Umfang und erweisen sich die entsprechenden Ausführungen im angefochtenen Entscheid als ausreichend. Daraus geht nämlich in nachvollziehbarer Weise hervor, weshalb dem Ausstandsbegehren keine Folge geleistet wurde, was dem Beschwerdeführer durchaus ermöglichte, das Urteil des Obergerichts angemessen anzufechten.</w:t>
      </w:r>
    </w:p>
    <w:p>
      <w:r>
        <w:rPr>
          <w:b/>
        </w:rPr>
        <w:t>E. 4.1</w:t>
      </w:r>
    </w:p>
    <w:p>
      <w:r>
        <w:t>Der angefochtene Entscheid erweist sich als rechtmässig, wenn einer der zwei Gründe, die zur Ablehnung des Ausstandsbegehrens führten, vor Bundesrecht standhält. Es rechtfertigt sich daher, die auf den ersten Blick kompliziertere Frage der Rechtzeitigkeit der Gesuchseinreichung zumindest vorerst offen zu lassen, und vorweg die inhaltliche Begründetheit des Ausstandsgesuchs zu überprüfen.</w:t>
      </w:r>
    </w:p>
    <w:p>
      <w:r>
        <w:rPr>
          <w:b/>
        </w:rPr>
        <w:t>E. 4.2</w:t>
      </w:r>
    </w:p>
    <w:p>
      <w:r>
        <w:t>Im Wesentlichen bringt der Beschwerdeführer zunächst vor, die mit seinem Fall befasste Gerichtspräsidentin habe bereits im Jahre 2010 bei der Behandlung seines ersten Ausstandsgesuchs die Befragung in sehr tendenziöser Art und Weise vorgenommen. Bei der Verhandlung vom 14. Juni 2012 habe sie den Beschwerdeführer sodann mit auf privaten Erkundigungen beruhenden Erkenntnissen konfrontiert. Weiter habe er erst von der Vorinstanz im Rahmen eines Wiedererwägungsgesuchs Einsicht in die Handprotokolle der Verhandlungen erhalten. Hauptsächlich begründet der Beschwerdeführer sein Ausstandsbegehren aber damit, dass die Gerichtspräsidentin und die beteiligte Gerichtsschreiberin die von seinem Rechtsvertreter an der Verhandlung vom 14. Juni 2010 eingereichten Plädoyernotizen in Kopie bei den Akten behalten hätten, obwohl er ihre vollständige Rückgabe verlangt hatte, was ihm zugesichert worden sei, und die Notizen in der Folge mit den Akten zum Gutachter gelangten, der daraus ausführlich zitiert habe. Insgesamt belege all dies die Voreingenommenheit bzw. Befangenheit der Gerichtspräsidentin und der Gerichtsschreiberin ihm gegenüber.</w:t>
      </w:r>
    </w:p>
    <w:p>
      <w:r>
        <w:rPr>
          <w:b/>
        </w:rPr>
        <w:t>E. 4.3</w:t>
      </w:r>
    </w:p>
    <w:p>
      <w:r>
        <w:t>Dass sich die fraglichen Gerichtspersonen dem Beschwerdeführer gegenüber tendenziös verhalten hätten, ist durch nichts belegt. Auch er selbst vermag seine entsprechende Behauptung durch keine konkreten Hinweise zu unterlegen. Was eventuelle private Erkundigungen betrifft, so gilt dafür dasselbe wie für eine allenfalls fragwürdige Ablage der Plädoyernotizen in den Verfahrensakten. Wie das Obergericht dazu richtig festgehalten hat, könnte dies höchstens allenfalls als fehlerhafte Verfahrenshandlung beurteilt werden. Ein Anschein von Befangenheit oder Voreingenommenheit lässt sich daraus hingegen nicht ableiten. Die Vorgänge sind protokolliert bzw. dokumentiert, auch dass die Plädoyernotizen nicht verlesen wurden, und können im Strafverfahren beanstandet werden. Worin eine Amtsgeheimnisverletzung bzw. ein eigentlicher Verstoss gegen Amtspflichten liegen soll, vermag der Beschwerdeführer nicht darzutun. Soweit ein prozessualer Fehler vorliegen sollte, begründet dies für sich noch nicht den Anschein der Befangenheit oder Voreingenommenheit. Wie dargelegt (vgl. E. 2), bedürfte es dafür wiederholter besonders krasser Verfahrensfehler, die einer schweren Amtspflichtverletzung gleichkommen und sich einseitig zulasten einer der Prozessparteien auswirken. Das trifft bei den vom Beschwerdeführer geltend gemachten Mängeln, selbst wenn es sich um Verfahrensfehler handeln sollte, jedenfalls nicht zu.</w:t>
      </w:r>
    </w:p>
    <w:p>
      <w:r>
        <w:rPr>
          <w:b/>
        </w:rPr>
        <w:t>E. 4.4</w:t>
      </w:r>
    </w:p>
    <w:p>
      <w:r>
        <w:t>Die Abweisung des Ausstandsgesuchs in der Sache verstösst demnach nicht gegen Bundesrecht unter Einschluss der Bundesverfassung und der Europäischen Menschenrechtskonvention. Unter diesen Umständen braucht nicht mehr geprüft zu werden, ob die Vorinstanz überdies zu Recht davon ausging, der Beschwerdeführer habe das Ausstandsbegehren zu spät gestellt.</w:t>
      </w:r>
    </w:p>
    <w:p>
      <w:r>
        <w:rPr>
          <w:b/>
        </w:rPr>
        <w:t>E. 5</w:t>
      </w:r>
    </w:p>
    <w:p>
      <w:r>
        <w:t>Die Beschwerde erweist sich als unbegründet und ist abzuweisen.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