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118/2018 vom 5. Juli 2018</w:t>
      </w:r>
    </w:p>
    <w:p>
      <w:r>
        <w:t>Bundesgericht, 2018-07-05, FR</w:t>
      </w:r>
    </w:p>
    <w:p>
      <w:r>
        <w:rPr>
          <w:b/>
        </w:rPr>
        <w:t xml:space="preserve">Quelle: </w:t>
      </w:r>
      <w:r>
        <w:t>https://mcp.opencaselaw.ch/entscheid/bger_1B_118_2018</w:t>
      </w:r>
    </w:p>
    <w:p>
      <w:r>
        <w:t>FR: TF 1B 118/2018 du 5 juillet 2018</w:t>
      </w:r>
    </w:p>
    <w:p>
      <w:r>
        <w:t>IT: TF 1B 118/2018 del 5 luglio 2018</w:t>
      </w:r>
    </w:p>
    <w:p>
      <w:pPr>
        <w:pStyle w:val="Heading2"/>
      </w:pPr>
      <w:r>
        <w:t>Regeste</w:t>
      </w:r>
    </w:p>
    <w:p>
      <w:r>
        <w:t>Procédure pénale; séquestre | Procédure pénale</w:t>
      </w:r>
    </w:p>
    <w:p>
      <w:pPr>
        <w:pStyle w:val="Heading2"/>
      </w:pPr>
      <w:r>
        <w:t>Erwägungen</w:t>
      </w:r>
    </w:p>
    <w:p>
      <w:r>
        <w:rPr>
          <w:b/>
        </w:rPr>
        <w:t>E. 1</w:t>
      </w:r>
    </w:p>
    <w:p>
      <w:r>
        <w:t>Le recours est dirigé contre un arrêt d'irrecevabilité rendu en dernière instance cantonale. Sur le fond, la contestation porte sur la confirmation d'un séquestre pénal des avoirs du recourant. Le recours est dès lors en principe recevable comme recours en matière pénale selon les art. 78 ss LTF . L'arrêt attaqué ne met pas fin à la procédure pénale et revêt donc un caractère incident. En principe, le recours ne serait recevable qu'aux conditions restrictives posées à l' art. 93 LTF , dont celle de l'existence d'un préjudice irréparable. Toutefois, le recours porte également sur le refus de reconnaître l'existence d'un droit de recourir - faute d'intérêt juridiquement protégé -, ce qui équivaut à un déni de justice formel. Dans un tel cas, le Tribunal fédéral renonce à l'exigence d'un préjudice irréparable ( ATF 143 I 344 consid. 1.2 p. 346; 138 IV 258 consid. 1.1 p. 261; arrêt 1B_466/2017 du 27 mars 2018 consid. 1). Dans la mesure où l'arrêt attaqué se prononce également sur le fond (cf. notamment son consid. 4), il y a lieu de préciser que le recourant, en tant que titulaire du compte bancaire saisi, peut se prévaloir d'un intérêt juridique à obtenir l'annulation ou la modification de cette décision, de sorte qu'il dispose de la qualité pour recourir au sens de l' art. 81 al. 1 LTF ( ATF 133 IV 278 consid. 1.3 p. 282 s.; 128 IV 145 consid. 1a p. 148). La condition posée à l' art. 93 al. 1 let. a LTF est également réalisée puisque le détenteur d'avoirs ou d'objets placés sous séquestre se trouve privé temporairement de leur libre disposition ( ATF 128 I 129 consid. 1 p. 131). Pour le surplus, le recours a été formé en temps utile (art. 45 al. 1 et 100 al. 1 LTF) contre une décision rendue en dernière instance cantonale ( art. 80 LTF ) et les conclusions présentées sont recevables au regard de l' art. 107 al. 2 LTF , de sorte qu'il y a lieu d'entrer en matière.</w:t>
      </w:r>
    </w:p>
    <w:p>
      <w:r>
        <w:rPr>
          <w:b/>
        </w:rPr>
        <w:t>E. 2</w:t>
      </w:r>
    </w:p>
    <w:p>
      <w:r>
        <w:t>Le recourant reproche tout d'abord à l'autorité précédente d'avoir considéré qu'il n'aurait pas la qualité pour recourir au sens de l' art. 382 al. 1 CPP , faute d'intérêt actuel et concret à l'annulation du séquestre ordonné sur son compte dans le cadre de la procédure suisse (P/---/2016) vu le second séquestre portant sur ces mêmes avoirs ordonné dans la cause d'entraide internationale (CP/---/2016). Avec le recourant, on peut douter du bien-fondé de cette argumentation. Certes, l'éventuelle levée du séquestre pénal ordonnée dans la cause P/---/2016 - à l'origine de la présente procédure - n'entraînerait pas la restitution des avoirs au recourant dès lors que le séquestre prononcé dans celle CP/---/2016 permettrait le maintien de cette mesure conservatoire. Toutefois, soutenir que l'existence d'un autre séquestre pénal portant sur un même compte bancaire suffirait à exclure tout intérêt juridiquement protégé au sens de l' art. 382 al. 1 CPP (sur ces notions et article, cf. ATF 144 IV 81 consid. 2.3.1 p. 84 s.) équivaudrait à autoriser un nouveau séquestre - respectivement à pouvoir maintenir le précédent - indépendamment de la réalisation des conditions y relatives (cf. en matière pénale, les art. 197 al. 1, 263 al. 1 CPP et 71 al. 3 CP) puisqu'aucune autorité ne pourrait être appelée à en vérifier la réalisation, ce qui n'est pas admissible. La possibilité d'un contrôle par une instance de recours s'impose d'autant plus que si, contrairement à ce qui prévaut en l'occurrence (cf. les infractions dans la faillite examinées en Roumanie et celle de blanchiment d'argent en Suisse), les motifs permettant le séquestre - notamment les soupçons relatifs à la commission d'une infraction - dans deux ou plusieurs causes pénales parallèles sont dénués de tout lien entre eux. Suivre le raisonnement cantonal permettrait aussi, de manière choquante, que tant qu'un séquestre au moins est maintenu, la levée d'une deuxième ou troisième mesure ne dépendrait, non pas du défaut de réalisation des conditions y relatives, mais de la seule volonté de l'autorité l'ayant prononcée. Cela étant, la juridiction cantonale a également statué sur le fond et, vu l'issue du litige, cette question de recevabilité peut rester indécise.</w:t>
      </w:r>
    </w:p>
    <w:p>
      <w:r>
        <w:rPr>
          <w:b/>
        </w:rPr>
        <w:t>E. 3</w:t>
      </w:r>
    </w:p>
    <w:p>
      <w:r>
        <w:t>Invoquant des violations de son droit d'être entendu et de l' art. 6 CPP , le recourant reproche à l'autorité précédente d'avoir écarté ce même grief soulevé à l'encontre du Ministère public. Le recourant soutenait alors en substance que ce dernier n'aurait pas pris connaissance des pièces produites à l'appui de sa demande de levée du séquestre du 12 juin 2017 - soit en particulier l'expertise privée produite -, dès lors que le magistrat aurait rendu sa décision dès le lendemain. Le recourant se plaint également de l'appréciation effectuée par la cour cantonale de cette expertise; celle-ci l'aurait ainsi à tort considérée comme un "simple indice" et n'aurait pas étayé de manière suffisante les raisons lui ayant permis de l'écarter. Ainsi que l'a déjà relevé la juridiction précédente (cf. consid. 3.3 de l'arrêt entrepris), une appréciation, respectivement en conséquence une décision, qui ne correspond pas aux attentes du recourant ne suffit pas pour considérer que l'autorité en cause aurait violé son droit d'être entendu - en particulier lorsqu'elle limite sa motivation aux griefs qu'elle estime pertinents ( ATF 142 II 154 consid. 4.2 p. 157; 139 IV 179 consid. 2.2 p. 183) - et/ou que le prononcé en découlant serait arbitraire notamment quant à son résultat ( ATF 143 IV 500 consid. 1.1 p. 503). En tout état de cause et dans la mesure où il y aurait eu violation de son droit d'être entendu, le recourant a pu faire valoir ses moyens devant la juridiction précédente, autorité qui dispose d'une pleine cognition en fait et en droit (cf. art. 393 al. 2 CPP ; ATF 141 IV 396 consid. 4.4 p. 405); le recourant ne soutient d'ailleurs pas que tel n'aurait pas été le cas. Enfin, on ne saurait reprocher à la cour cantonale de n'avoir pas pris en compte l'expertise privée - qui constitue, indépendamment de l'éventuelle renommée internationale de ses auteurs, une simple allégation de partie ( ATF 141 IV 369 consid. 6.2 p. 373 ss) - puisqu'elle en a fait mention dans ses considérants (cf. consid. 4.2 de l'arrêt attaqué), certes avec des conséquences sur le fond différentes de celles espérées par le recourant. Au regard de ces considérations, les griefs en lien avec l'établissement des faits et le droit d'être entendu peuvent être écartés.</w:t>
      </w:r>
    </w:p>
    <w:p>
      <w:r>
        <w:rPr>
          <w:b/>
        </w:rPr>
        <w:t>E. 4</w:t>
      </w:r>
    </w:p>
    <w:p>
      <w:r>
        <w:t>Se référant à l' art. 263 CPP , le recourant fait grief à l'autorité précédente d'avoir confirmé le maintien du séquestre sur son compte bancaire. Il prétend à cet égard que les fonds séquestrés n'auraient pas d'origine délictueuse.</w:t>
      </w:r>
    </w:p>
    <w:p>
      <w:r>
        <w:rPr>
          <w:b/>
        </w:rPr>
        <w:t>E. 4.1</w:t>
      </w:r>
    </w:p>
    <w:p>
      <w:r>
        <w:t>Le séquestre - notamment au sens des art. 263 al. 1 CPP et/ou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 alité des fonds doit demeurer à disposition de la justice aussi longtemps qu'il existe un doute sur la part de ceux-ci qui pourrait provenir d'une activité criminelle (arrêt 1B_145/2016 du 1er juillet 2016 consid. 3.1 et les arrêts cités) et un séquestre ne peut donc être levé que dans l'hypothèse où il est d'emblée manifeste et indubitable que les conditions matérielles d'une confiscation ne sont pas réalisées et ne pourront pas l'être ( ATF 140 IV 133 consid. 4.2.1 p. 138 s.; 139 IV 250 consid. 2.1 p. 252 s.). Les probabilités d'une confiscation, respectivement du prononcé d'une créance compensatrice, doivent cependant se renforcer au cours de l'instruction ( ATF 122 IV 91 consid. 4 p. 96; arrêts 1B_194/2018 du 28 mai 2018 consid. 4.3; 1B_426/2017 du 28 février 2018 consid. 3.1). Un séquestre peut apparaître disproportionné lorsque la procédure dans laquelle il s'inscrit s'éternise sans motifs suffisants ( ATF 132 I 229 consid. 11.6 p. 247); il faut en outre que la quotité de cette mesure reste en rapport avec le produit de l'infraction poursuivie ( ATF 130 II 329 consid. 6 p. 336).</w:t>
      </w:r>
    </w:p>
    <w:p>
      <w:r>
        <w:rPr>
          <w:b/>
        </w:rPr>
        <w:t>E. 4.2</w:t>
      </w:r>
    </w:p>
    <w:p>
      <w:r>
        <w:t>La cour cantonale a considéré que le séquestre ordonné par le Ministère public se fondait sur les faits dénoncés dans la demande d'entraide des autorités roumaines et qu'à ce stade de l'instruction, rien ne permettait de mettre en doute ces faits s'agissant de l'origine criminelle présumée des fonds. Elle a également retenu que si le recourant avait soumis une expertise privée tendant à prouver que l'argent arrivé en Suisse n'aurait aucun lien avec les faits dénoncés, rien ne permettait d'exclure que les fonds litigieux auraient transité par d'autres comptes bancaires. Relevant que le recourant n'était ni prévenu dans la procédure nationale, ni nommément visé par la demande d'entraide internationale, la juridiction précédente a cependant estimé qu'il apparaissait à ce stade de l'instruction comme ayant pu voir ses comptes alimentés par des fonds d'origine criminelle provenant de sociétés dans lesquelles il était actionnaire ou administrateur dans le contexte d'une faillite qui aurait été organisée aux dires de la demande d'entraide.</w:t>
      </w:r>
    </w:p>
    <w:p>
      <w:r>
        <w:rPr>
          <w:b/>
        </w:rPr>
        <w:t>E. 4.3</w:t>
      </w:r>
    </w:p>
    <w:p>
      <w:r>
        <w:t>Ce raisonnement - certes bref - ne prête pas le flanc à la critique et le recourant ne développe aucun élément propre à le remettre valablement en cause. Il ne conteste ainsi pas avoir des liens avec les différentes sociétés concernées par la procédure pénale roumaine en lien avec la faillite peut-être frauduleuse de C.________. Le recourant soutient toutefois que l'argent saisi sur son compte proviendrait de la vente des actions de F.________ par G.________ à H.________ (cf. en particulier ad ch. 2 p. 6 du mémoire de recours), soit en substance des entités sans rapport avec la faillite de C.________ ou la société E.________. Le recourant n'établit cependant pas à quel (s) moment (s) la somme relative à la vente de la société F.________ aurait été versée par H.________ sur le compte de F.________, que ce soit avec ou sans compte intermédiaire et/ou par le biais de plusieurs versements. Le recourant se limite en effet à faire état des deux transferts subséquents le concernant effectués depuis ce compte en faveur de ceux de l'avocat genevois et de l'étude de celui-ci (le 13 novembre 2012 EUR 6'400'000.- et le 28 février 2013 EUR 5'234'483.-). Contrairement également à ses obligations en matière de motivation (cf. art. 42 al. 2 LTF ), il ne fait pas référence à un ou plusieurs points précis de l'expertise produite - analyse effectuée sur la base des informations données au demeurant par le recourant (cf. notamment ch. 1.3.4 et l'annexe 2 de cette expertise) - qui permettraient de comprendre quand H.________ se serait acquittée de ses obligations, pourquoi elle l'aurait fait sur le compte de la société "vendue" et non pas directement en mains de la société venderesse et/ou de son avocat et pour quelles raisons l'un des virements avait été opéré en faveur du compte privé de l'avocat genevois. Le principe de la proportionnalité n'est pas non plus violé par la durée de la mesure de séquestre vu les aspects internationaux de la présente cause. Cela étant, ainsi que l'a relevé l'autorité précédente, il appartiendra au Ministère public de faire progresser son enquête, ne paraissant pas impossible de procéder à certaines vérifications en lien avec les avoirs en cause indépendamment de l'avancement de la procédure roumaine. Au regard de l'ensemble de ces considérations (défaut d'information claire sur l'origine des fonds saisis, multiplication des intermédiaires, procédure pénale roumaine en cours concernant la faillite peut-être frauduleuse de différentes sociétés en lien avec le recourant), une origine criminelle des fonds saisis ne peut pas être d'emblée exclue et, partant, la Chambre pénale de recours pouvait, sans violer le droit fédéral, confirmer le maintien du séquestre de ces avoirs.</w:t>
      </w:r>
    </w:p>
    <w:p>
      <w:r>
        <w:rPr>
          <w:b/>
        </w:rPr>
        <w:t>E. 5</w:t>
      </w:r>
    </w:p>
    <w:p>
      <w:r>
        <w:t>Il s'ensuit que le recours est rejeté. Le recourant, qui succombe, supporte les frais judiciaires ( art. 66 al. 1 LTF ); eu égard à l'argumentation développée en lien avec l'irrecevabilité du recours cantonal et les considérations émises à ce propos, ceux-ci seront cependant réduits.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