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1B_118/2012 vom 19. Juli 2012</w:t>
      </w:r>
    </w:p>
    <w:p>
      <w:r>
        <w:t>Bundesgericht, 2012-07-19, FR</w:t>
      </w:r>
    </w:p>
    <w:p>
      <w:r>
        <w:rPr>
          <w:b/>
        </w:rPr>
        <w:t xml:space="preserve">Quelle: </w:t>
      </w:r>
      <w:r>
        <w:t>https://mcp.opencaselaw.ch/entscheid/bger_1B_118_2012</w:t>
      </w:r>
    </w:p>
    <w:p>
      <w:r>
        <w:t>FR: TF 1B_118/2012 du 19 juillet 2012</w:t>
      </w:r>
    </w:p>
    <w:p>
      <w:r>
        <w:t>IT: TF 1B_118/2012 del 19 luglio 2012</w:t>
      </w:r>
    </w:p>
    <w:p>
      <w:pPr>
        <w:pStyle w:val="Heading2"/>
      </w:pPr>
      <w:r>
        <w:t>Erwägungen</w:t>
      </w:r>
    </w:p>
    <w:p>
      <w:r>
        <w:rPr>
          <w:b/>
        </w:rPr>
        <w:t>E. 1</w:t>
      </w:r>
    </w:p>
    <w:p>
      <w:r>
        <w:t>Le recours en matière pénale, au sens de l' art. 78 al. 1 LTF , est ouvert contre une décision de saisie prise au cours de la procédure pénale et confirmée en dernière instance cantonale ( art. 80 LTF ). La décision par laquelle le juge prononce, maintient ou refuse un séquestre pénal constitue une décision incidente, qui ne met pas fin à la procédure ( ATF 128 I 129 consid. 1 p. 131; 126 I 97 consid. 1b p. 100 et les références). Une telle décision peut faire l'objet d'un recours au Tribunal fédéral notamment si elle est de nature à causer un préjudice juridique irréparable au sens de l' art. 93 al. 1 let. a LTF . Selon la jurisprudence, le séquestre de valeurs patrimoniales cause en principe un dommage irréparable, dans la mesure où le détenteur se trouve privé temporairement de la libre disposition des valeurs saisies ( ATF 126 I 97 consid. 1b p. 101; voir également ATF 133 IV 139 consid. 4 p. 141; 128 I 129 consid. 1 p. 131; 89 I 185 consid. 4 p. 187 et les références). Compte tenu du montant dérisoire séquestré en l'espèce, on peut se demander si cette condition est réalisée et s'il se justifie que le Tribunal fédéral statue sans attendre une décision sur le fond. Cette question peut cependant demeurer indécise, le recours devant être rejeté pour les motifs exposés ci-après.</w:t>
      </w:r>
    </w:p>
    <w:p>
      <w:r>
        <w:rPr>
          <w:b/>
        </w:rPr>
        <w:t>E. 2</w:t>
      </w:r>
    </w:p>
    <w:p>
      <w:r>
        <w:t>La recourante se plaint en premier lieu d'une violation du principe de la bonne foi et d'une violation de son droit d'être entendue en raison d'un défaut de motivation. Le premier grief apparaît d'emblée mal fondé, l'intéressée n'ayant manifestement pas réglé sa conduite sur un renseignement ou une décision erronés de l'administration. De plus, comme le relève l'arrêt attaqué, la recourante était en mesure de comprendre les motifs qui ont fondé le séquestre - nonobstant une erreur initiale dans les normes juridiques invoquées à l'appui de celui-ci - et de le contester à bon escient. Par ailleurs, le grief tiré de la garantie de la bonne foi étant dénué de pertinence, la Cour de justice pouvait s'abstenir de le traiter en détail sans pour autant violer le droit d'être entendu de la recourante ( ATF 134 I 83 consid. 4.1 p. 88; 133 I 270 consid. 3.1 p. 277; 130 II 530 consid. 4.3 p. 540 et les références). Ce premier moyen doit donc être rejeté.</w:t>
      </w:r>
    </w:p>
    <w:p>
      <w:r>
        <w:rPr>
          <w:b/>
        </w:rPr>
        <w:t>E. 3</w:t>
      </w:r>
    </w:p>
    <w:p>
      <w:r>
        <w:t>Invoquant les art. 263 ss CPP , la recourante s'en prend également au bien-fondé du séquestre litigieux.</w:t>
      </w:r>
    </w:p>
    <w:p>
      <w:r>
        <w:rPr>
          <w:b/>
        </w:rPr>
        <w:t>E. 3.1</w:t>
      </w:r>
    </w:p>
    <w:p>
      <w:r>
        <w:t>Cette mesure peut se fonder sur l' art. 263 al. 1 let . d CPP, applicable aux infractions de droit cantonal par renvoi de l'art. 8 de la loi d'application du code pénal suisse et d'autres lois fédérales en matière pénale (LaCP; RSG E 4 10). L' art. 263 al. 1 let . d CPP permet de mettre sous séquestre des valeurs patrimoniales appartenant au prévenu lorsqu'il est probable qu'elles devront être confisquées. Or, sur le vu du dossier il n'apparaît guère contestable que les 9 fr. saisis étaient vraisemblablement le produit d'une infraction à l'art. 11A LPG réprimant la mendicité, dont la constitutionnalité a été admise par le Tribunal fédéral ( ATF 134 I 214 ). Dans ces circonstances, c'est en vain que la recourante se plaint d'une violation de la présomption d'innocence. Quant aux conditions de forme, elles sont respectées dans la mesure où le séquestre a fait l'objet d'une ordonnance rendue conformément à l' art. 263 al. 2 CPP . Le montant de 9 fr. ayant été saisi par un gendarme dans la rue, on peut également admettre que la condition de l' art. 263 al. 3 CPP était réalisée et que la notification d'une ordonnance écrite pouvait intervenir ultérieurement.</w:t>
      </w:r>
    </w:p>
    <w:p>
      <w:r>
        <w:rPr>
          <w:b/>
        </w:rPr>
        <w:t>E. 3.2</w:t>
      </w:r>
    </w:p>
    <w:p>
      <w:r>
        <w:t>La recourante évoque encore son droit au minimum vital, sans formuler de grief précis sur ce point. Au demeurant, selon la systématique du CPP, seul le séquestre en couverture des frais impose de prendre en compte le revenu et la fortune du prévenu ( art. 268 al. 2 CPP ) et d'exclure du séquestre les valeurs insaisissables selon les art. 92 à 94 de la loi fédérale sur la poursuite pour dettes et la faillites ( art. 268 al. 3 CPP ). Or, le séquestre litigieux n'ayant pas pour but d'assurer la couverture des frais, ces dispositions ne s'appliquent pas en l'espèce. Quant aux art. 92 à 94 LP, ils ne seraient d'aucun secours à la recourante, le produit d'une infraction ne constituant pas un revenu insaisissable au sens de la LP. Dès lors qu'à ce stade il apparaît vraisemblable que les 9 fr. séquestrés constituent le produit d'une infraction, la recourante ne saurait exiger leur restitution pour subvenir à ses besoins. Ce grief doit donc être rejeté.</w:t>
      </w:r>
    </w:p>
    <w:p>
      <w:r>
        <w:rPr>
          <w:b/>
        </w:rPr>
        <w:t>E. 4</w:t>
      </w:r>
    </w:p>
    <w:p>
      <w:r>
        <w:t>Il s'ensuit que le recours doit être rejeté, dans la mesure de sa recevabilité. Dès lors que la recourante est dans le besoin et que l'on peut encore admettre que ses conclusions n'étaient pas d'emblée vouées à l'échec, l'assistance judiciaire doit lui être accordée ( art. 64 al. 1 LTF ). Il y a lieu de désigner Me Dina Bazarbachi en qualité d'avocate d'office et de fixer d'office ses honoraires, qui seront supportés par la caisse du Tribunal fédéral ( art. 64 al. 2 LTF ). La recourante est en outre dispensée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