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1B_117/2014 vom 9. April 2014</w:t>
      </w:r>
    </w:p>
    <w:p>
      <w:r>
        <w:t>Bundesgericht, 2014-04-09, DE</w:t>
      </w:r>
    </w:p>
    <w:p>
      <w:r>
        <w:rPr>
          <w:b/>
        </w:rPr>
        <w:t xml:space="preserve">Quelle: </w:t>
      </w:r>
      <w:r>
        <w:t>https://mcp.opencaselaw.ch/entscheid/bger_1B_117_2014</w:t>
      </w:r>
    </w:p>
    <w:p>
      <w:r>
        <w:t>FR: TF 1B_117/2014 du 9 avril 2014</w:t>
      </w:r>
    </w:p>
    <w:p>
      <w:r>
        <w:t>IT: TF 1B_117/2014 del 9 aprile 2014</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Sicherheitshaft kann unter anderem angeordnet werden, wenn ein dringender Tatverdacht in Bezug auf ein Verbrechen oder Vergehen sowie Flucht- oder Ausführungsgefahr besteht ( Art. 221 Abs. 1 lit. c und Abs. 2 StPO ).</w:t>
      </w:r>
    </w:p>
    <w:p>
      <w:r>
        <w:rPr>
          <w:b/>
        </w:rPr>
        <w:t>E. 2.1</w:t>
      </w:r>
    </w:p>
    <w:p>
      <w:r>
        <w:t>Vor Vorinstanz war nicht bestritten, dass der Beschwerdeführer der ihm in der Anklage vorgeworfenen Taten dringend verdächtig ist. Vor Bundesgericht macht er nunmehr geltend, das Zwangsmassnahmengericht und das Obergericht hätten sich in mehreren Punkten nicht mit der tatsächlichen Akten- und Beweislage auseinandergesetzt und dadurch seinen Anspruch auf rechtliches Gehör verletzt.</w:t>
      </w:r>
    </w:p>
    <w:p>
      <w:r>
        <w:t>Der Einwand ist unbegründet. Der Beschwerdeführer übersieht, dass im Haftprüfungsverfahren einzig abzuklären ist, ob ein dringender Tatverdacht besteht, was das Obergericht ohne Bundesrechtsverletzung bejahen konnte. Ob sich der Verdacht aufgrund der Beweislage zu einer für eine Verurteilung ausreichenden Gewissheit verdichten lässt oder nicht, wird erst der Strafrichter abschliessend zu entscheiden haben. Zurzeit ist daher davon auszugehen, dass der Beschwerdeführer der ihm in der Anklage vorgeworfenen Vergehen (Art. 10 i.V.m. Art. 180 Abs. 1 und Art. 181 StGB ) dringend verdächtig und der allgemeine Haftgrund erstellt ist.</w:t>
      </w:r>
    </w:p>
    <w:p>
      <w:r>
        <w:rPr>
          <w:b/>
        </w:rPr>
        <w:t>E. 2.2.1</w:t>
      </w:r>
    </w:p>
    <w:p>
      <w:r>
        <w:t>Ausführungsgefahr im Sinne von Art. 221 Abs. 2 StPO besteht, wenn ernsthaft zu befürchten ist, eine Person werde ihre Drohung, ein schweres Verbrechen auszuführen, wahrmachen.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(Zusammenfassung der Rechtsprechung in E. 2.1.1 des zur Publikation bestimmten Urteils 1B_456/2013 vom 27. Januar 2014).</w:t>
      </w:r>
    </w:p>
    <w:p>
      <w:r>
        <w:rPr>
          <w:b/>
        </w:rPr>
        <w:t>E. 2.2.2</w:t>
      </w:r>
    </w:p>
    <w:p>
      <w:r>
        <w:t>Es ist naturgemäss schwierig zu beurteilen, wie ernst die mutmasslichen Drohungen des Beschwerdeführers gemeint sind und ob die konkrete Gefahr besteht, dass er sie wahr macht. Dagegen spricht zwar einerseits, dass er seit seiner Jugend grosses Interesse an Waffen zeigte und sich solche immer wieder - auch illegal - beschafft hat, ohne dass er je gewalttätig geworden wäre. Das Gutachten Habermeyer vom 15. Februar 2013 kommt ebenfalls zum Schluss, der Beschwerdeführer stelle keine erhöhte Gefahr für Leib und Leben von Dritten dar; sein Verhalten diene vorwiegend dazu, Angst auszulösen und ein Gefühl der Bedrohung hervorzurufen. Auch das Gutachten Graf/Hachtel vom 31. Oktober 2013 geht nicht davon aus, dass der Beschwerdeführer in Freiheit gegenüber seiner ehemaligen Lebensgefährtin gewalttätig würde. Hingegen gehen die Gutachter von einer starken Zunahme der Ausführungsgefahr in Bezug auf einen geplanten und gezielten Einsatz von Waffen mit hohem Schadenspotenzial gegen die vom Beschwerdeführer bedrohten Dritten aus, wenn er sich zunehmend isoliert, benachteiligt, gegängelt oder als Person übergangen fühlen sollte. Der Beschwerdeführer macht zwar zu Recht geltend, die Gutachten seien reine Aktengutachten und damit von beschränkter Aussagekraft. Daraus kann er aber nichts zu seinen Gunsten ableiten, da er jede Kooperation mit den Gutachtern verweigerte und es daher selber zu vertreten hat, dass auf die Aktengutachten abgestellt werden muss. Entgegen der Auffassung des Beschwerdeführers bestehen aber keine Hinweise dafür, dass diese aufgrund von falschen Angaben und fehlerhaften Akten erstellt wurden.</w:t>
      </w:r>
    </w:p>
    <w:p>
      <w:r>
        <w:t>Der Beschwerdeführer fühlt sich offensichtlich unverstanden, er argwöhnt, die Strafverfolgungsbehörden versuchten, ihn "absolut auszugrenzen", seine Wiedereingliederung in die Gesellschaft zu verhindern und ihn durch die willkürliche Verfügung einer stationären Massnahme nach Art. 59 StGB - was eine Rückkehr zur "Administrativen Versorgung" unter anderer Bezeichnung bedeute - unter Umgehung rechtsstaatlicher Prinzipien gefangen zu halten. Bei dieser Gemütslage des Beschwerdeführers erscheint es nach dem nachvollziehbaren Schluss des Zweitgutachtens plausibel, dass er sich in Freiheit, wenn er sich durch den Fortgang des Strafverfahrens zunehmend unter Druck gesetzt fühlt, zu einer Gewalttat gegen eine der von ihm bedrohten Amtspersonen hinreissen lassen könnte. Es ist daher nicht zu beanstanden, dass das Obergericht Ausführungsgefahr bejahte.</w:t>
      </w:r>
    </w:p>
    <w:p>
      <w:r>
        <w:rPr>
          <w:b/>
        </w:rPr>
        <w:t>E. 2.3</w:t>
      </w:r>
    </w:p>
    <w:p>
      <w:r>
        <w:t>Damit kann offen bleiben, ob auch Fluchtgefahr besteht.</w:t>
      </w:r>
    </w:p>
    <w:p>
      <w:r>
        <w:rPr>
          <w:b/>
        </w:rPr>
        <w:t>E. 2.4</w:t>
      </w:r>
    </w:p>
    <w:p>
      <w:r>
        <w:t>Der Beschwerdeführer macht geltend, der Strafantrag sei überrissen und die Weiterführung der Haft unverhältnismässig.</w:t>
      </w:r>
    </w:p>
    <w:p>
      <w:r>
        <w:t>Der Beschwerdeführer wird, falls er bis zur auf den 25. Juni 2014 angesetzten Hauptverhandlung in Haft bleibt, gut 14 Monate Untersuchungs- und Sicherheitshaft erstanden haben.</w:t>
      </w:r>
    </w:p>
    <w:p>
      <w:r>
        <w:t>Der Beschwerdeführer wurde von der Bundesanwaltschaft mit Strafbefehl vom 11. November 2011 wegen Gewalt und Drohung gegen Beamte ( Art. 285 Abs. 1 StGB ) sowie Herstellens, Verbergens, Weiterschaffens von Sprengstoffen und giftigen Gasen ( Art. 226 Abs. 1 StGB ) zu einer bedingten Geldstrafe von 180 Tagessätzen verurteilt. Die Staatsanwaltschaft fordert in der Anklage im Hauptantrag, diesen Strafaufschub zu widerrufen und den Beschwerdeführer zu einer Gesamtfreiheitsstrafe von 26 Monaten zu verurteilen. Dieser Antrag erscheint entgegen der Auffassung des Beschwerdeführers nicht als von vornherein unhaltbar. Vor allem aber wird er im Zeitpunkt der erstinstanzlichen Hauptverhandlung erst etwas mehr als die Hälfte dieser Zeit durch Untersuchungs- und Sicherheitshaft erstanden haben. Die Fortführung der Haft bis zur Hauptverhandlung ist unter diesen Umständen auch unter dem Gesichtspunkt der Verhältnismässigkeit nicht zu beanstanden.</w:t>
      </w:r>
    </w:p>
    <w:p>
      <w:r>
        <w:rPr>
          <w:b/>
        </w:rPr>
        <w:t>E. 3</w:t>
      </w:r>
    </w:p>
    <w:p>
      <w:r>
        <w:t>Die Beschwerde ist somit als unbegründet abzuweisen. Bei diesem Ausgang des Verfahrens trägt der Beschwerdeführer die Kosten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