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117/2011 vom 9. Mai 2011</w:t>
      </w:r>
    </w:p>
    <w:p>
      <w:r>
        <w:t>Bundesgericht, 2011-05-09, DE</w:t>
      </w:r>
    </w:p>
    <w:p>
      <w:r>
        <w:rPr>
          <w:b/>
        </w:rPr>
        <w:t xml:space="preserve">Quelle: </w:t>
      </w:r>
      <w:r>
        <w:t>https://mcp.opencaselaw.ch/entscheid/bger_1B_117_2011</w:t>
      </w:r>
    </w:p>
    <w:p>
      <w:r>
        <w:t>FR: TF 1B 117/2011 du 9 mai 2011</w:t>
      </w:r>
    </w:p>
    <w:p>
      <w:r>
        <w:t>IT: TF 1B 117/2011 del 9 maggio 2011</w:t>
      </w:r>
    </w:p>
    <w:p>
      <w:pPr>
        <w:pStyle w:val="Heading2"/>
      </w:pPr>
      <w:r>
        <w:t>Regeste</w:t>
      </w:r>
    </w:p>
    <w:p>
      <w:r>
        <w:t>Strafverfahren; Ausstandsbegehren | Zuständigkeitsfragen, Garantie des Wohnsitzrichters und des v...</w:t>
      </w:r>
    </w:p>
    <w:p>
      <w:pPr>
        <w:pStyle w:val="Heading2"/>
      </w:pPr>
      <w:r>
        <w:t>Erwägungen</w:t>
      </w:r>
    </w:p>
    <w:p>
      <w:r>
        <w:rPr>
          <w:b/>
        </w:rPr>
        <w:t>E. 1</w:t>
      </w:r>
    </w:p>
    <w:p>
      <w:r>
        <w:t>Der angefochtene Entscheid schliesst das Strafverfahren gegen den Beschwerdeführer nicht ab, er ermöglicht vielmehr dessen Weiterführung. Es handelt sich um einen selbständig eröffneten, kantonal letztinstanzlichen Zwischenentscheid über ein Ausstandsbegehren, gegen den die Beschwerde in Strafsachen nach Art. 92 Abs. 1 BGG zulässig ist. Als Angeklagter bzw. erstinstanzlich Verurteilter ist der Beschwerdeführer zur Beschwerde berechtigt ( Art. 81 Abs. 1 lit. a und b BGG ). Die übrigen Sachurteilsvoraussetzungen geben zu keinen Bemerkungen Anlass, weshalb auf die Beschwerde einzutreten ist.</w:t>
      </w:r>
    </w:p>
    <w:p>
      <w:r>
        <w:rPr>
          <w:b/>
        </w:rPr>
        <w:t>E. 2</w:t>
      </w:r>
    </w:p>
    <w:p>
      <w:r>
        <w:t>Am 1. Januar 2011 trat die Schweizerische Strafprozessordnung vom 5. Oktober 2007 (SR 312.0; StPO) in Kraft (AS 2010 1881), welche die kantonalen Strafprozessordnungen ablöst. Sie ist grundsätzlich sofort anwendbar ( Art. 448 Abs. 1 StPO ). Erging jedoch ein Entscheid vor dem 1. Januar 2011, so werden die Rechtsmittel dagegen nach bisherigem Recht beurteilt ( Art. 453 Abs. 1 StPO ). Das Ausstandsverfahren betrifft das Berufungsverfahren gegen die am 16. Dezember 2010 erfolgte amtsgerichtliche Verurteilung des Beschwerdeführers. Das Obergericht hat das Ausstandsbegehren daher zu Unrecht nach neuem Recht beurteilt. Massgebend gewesen wäre § 30 der Strafprozessordnung des Kantons Luzern vom 3. Juni 1957 (StPO/LU). Die Frage des anwendbaren Rechts ist vorliegend allerdings für den Ausgang des Verfahrens nicht von Bedeutung. Einerseits decken sich die beiden Strafprozessordnungen insoweit, als ein Staatsanwalt sowohl nach § 30 Abs. 1 Ziff. 4 StPO /LU als auch nach Art. 56 lit. f StPO in den Ausstand zu treten hat bzw. abgelehnt werden kann, wenn er "aus anderen wichtigen Gründen" bzw. "aus anderen Gründen" befangen erscheint. Anderseits ist für die Beurteilung dieses Ablehnungsbegehrens ohnehin die Praxis des Bundesgerichts zu Art. 29 Abs. 1 BV entscheidend. Diese Bestimmung stellt die für den grundrechtlichen Anspruch auf Unabhängigkeit und Objektivität von Untersuchungs- und Anklagebehörden massgebende Bestimmung dar.</w:t>
      </w:r>
    </w:p>
    <w:p>
      <w:r>
        <w:rPr>
          <w:b/>
        </w:rPr>
        <w:t>E. 3.1</w:t>
      </w:r>
    </w:p>
    <w:p>
      <w:r>
        <w:t>Die Anforderungen von Art. 29 Abs. 1 BV und Art. 6 Ziff. 1 EMRK an die Unbefangenheit eines Staatsanwalts entsprechen weitgehend denjenigen, die Art. 30 Abs. 1 BV an den Richter stellt ( BGE 127 I 196 E. 2b). Voreingenommenheit und Befangenheit werden nach der Rechtsprechung angenommen, wenn sich im Einzelfall anhand aller tatsächlichen und verfahrensrechtlichen Umstände Gegebenheiten ergeben, die geeignet sind, Misstrauen in die Unparteilichkeit des Staatsanwaltes zu erwecken. Diese können namentlich in einem bestimmten Verhalten des betreffenden Beamten begründet sein. Bei dessen Beurteilung ist nicht auf das subjektive Empfinden einer Partei abzustellen. Das Misstrauen in die Unvoreingenommenheit muss vielmehr in objektiver Weise begründet erscheinen. Es genügt, wenn Umstände vorliegen, die bei objektiver Betrachtung den Anschein erwecken, der Ankläger lasse sich bei der Führung der Strafuntersuchung von sachfremden Umständen leiten. Für die Ablehnung wird nicht verlangt, dass der Ankläger tatsächlich voreingenommen ist ( BGE 134 I 238 E. 2.1 mit Hinweisen).</w:t>
      </w:r>
    </w:p>
    <w:p>
      <w:r>
        <w:rPr>
          <w:b/>
        </w:rPr>
        <w:t>E. 3.2</w:t>
      </w:r>
    </w:p>
    <w:p>
      <w:r>
        <w:t>Das Obergericht hat im angefochtenen Entscheid erwogen (E. 3.2 S. 4 f.), der Vorwurf, Staatsanwalt Y.________ ändere zu Protokoll gegebene Äusserungen nach Belieben ab, sei unbegründet; es gebe keinerlei Anhaltspunkte, die diese Behauptung stützen würden. In Bezug auf den Vorwurf, immer nur er werde gebüsst, nicht aber seine Ehefrau, welche die bei ihr lebenden Kinder misshandle, hielt es fest, dass Gegenstand des vorliegenden Strafverfahren nur die Beurteilung des gegen ihn erhobenen Vorwurfs der üblen Nachrede sei. Abgesehen davon sei auf seine Anzeige hin auch ein Strafverfahren gegen seine Ehefrau geführt worden, welches am 1. Juli 2010 eingestellt worden sei. Dieser Einstellungsentscheid wäre von der Staatsanwaltschaft nicht visiert worden, wenn Amtsstatthalter Y.________ die Strafuntersuchung gegen die Ehefrau des Beschwerdeführers einseitig geführt hätte. Aus den Untersuchungsakten gehe denn auch hervor, dass der Vorwurf der Kindsmisshandlung gründlich abgeklärt worden sei. Das vom Beschwerdeführer geäusserte Misstrauen gegen Staatsanwalt Y.________ sei daher nicht in objektiver Weise begründet. Er dürfe daher nicht in den Ausstand versetzt werden, da sonst jedes subjektiv missliebige Behördenmitglied mit Erfolg abgelehnt werden könne.</w:t>
      </w:r>
    </w:p>
    <w:p>
      <w:r>
        <w:rPr>
          <w:b/>
        </w:rPr>
        <w:t>E. 3.3</w:t>
      </w:r>
    </w:p>
    <w:p>
      <w:r>
        <w:t>In seiner Beschwerde ans Bundesgericht begründet der Beschwerdeführer die (angebliche) Befangenheit von Staatsanwalt Y.________ damit, dass dieser ihn am 8. Februar 2007 wegen Drohung verurteilt habe, wobei diese Verurteilung "auf seiner Erfindung beruhe" (Beschwerde S. 1 "Fall 1"). Weiter sei er von ihm im Strafverfahren gegen seine Ehefrau "missbräuchlich zum Unterschreiben einer Vereinbarung gedrängt" worden (Beschwerde S. 1 f. "Fall 2"). Diese Vorbringen sind neu und damit unzulässig ( Art. 99 Abs. 1 BGG ). Das Gleiche gilt für die Bemerkungen zu der am 2. März 2010 erfolgten Einvernahme seiner Ehefrau durch Amtsstatthalter Y.________ (Beschwerde S. 2 f. "Fall 3"), die er nicht zur Begründung seines Ausstandsbegehrens herangezogen hatte. Im Übrigen begründet der Beschwerdeführer die (angebliche) Befangenheit Y.________ mit Kritik an seiner Ehefrau und an der Einstellung des Strafverfahrens gegen diese durch Amtsstatthalter Y.________. Abgesehen davon, dass sich der Beschwerdeführer mit den diesbezüglichen Ausführungen des Obergerichts nicht auseinandersetzt und damit nicht darlegt, inwiefern der angefochtene Entscheid Recht verletzt ( Art. 42 Abs. 2 BGG ), sind diese Vorbringen nicht geeignet, Staatsanwalt Y.________ befangen erscheinen zu lassen.</w:t>
      </w:r>
    </w:p>
    <w:p>
      <w:r>
        <w:rPr>
          <w:b/>
        </w:rPr>
        <w:t>E. 4</w:t>
      </w:r>
    </w:p>
    <w:p>
      <w:r>
        <w:t>Die Beschwerde ist somit abzuweisen, soweit darauf einzutreten ist.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