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117/2008 vom 13. Mai 2008</w:t>
      </w:r>
    </w:p>
    <w:p>
      <w:r>
        <w:t>Bundesgericht, 2008-05-13, IT</w:t>
      </w:r>
    </w:p>
    <w:p>
      <w:r>
        <w:rPr>
          <w:b/>
        </w:rPr>
        <w:t xml:space="preserve">Quelle: </w:t>
      </w:r>
      <w:r>
        <w:t>https://mcp.opencaselaw.ch/entscheid/bger_1B_117_2008</w:t>
      </w:r>
    </w:p>
    <w:p>
      <w:r>
        <w:t>FR: TF 1B 117/2008 du 13 mai 2008</w:t>
      </w:r>
    </w:p>
    <w:p>
      <w:r>
        <w:t>IT: TF 1B 117/2008 del 13 maggio 2008</w:t>
      </w:r>
    </w:p>
    <w:p>
      <w:pPr>
        <w:pStyle w:val="Heading2"/>
      </w:pPr>
      <w:r>
        <w:t>Regeste</w:t>
      </w:r>
    </w:p>
    <w:p>
      <w:r>
        <w:t>procedimento penale; richiesta di effetto sospensivo (congiunzione di procedimenti)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1'000.-- sono poste a carico del ricorrente.</w:t>
      </w:r>
    </w:p>
    <w:p>
      <w:r>
        <w:rPr>
          <w:b/>
        </w:rPr>
        <w:t>E. 3</w:t>
      </w:r>
    </w:p>
    <w:p>
      <w:r>
        <w:t>Comunicazione al patrocinatore del ricorrente, al Ministero pubblico e al Giudice dell'istruzione e dell'arresto del Cantone Ticino. Losanna, 13 maggio 2008 In nome della I Corte di diritto pubblico del Tribunale federale svizzero Il presidente: Il cancelliere: Féraud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