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116/2021 vom 5. Mai 2021</w:t>
      </w:r>
    </w:p>
    <w:p>
      <w:r>
        <w:t>Bundesgericht, 2021-05-05, FR</w:t>
      </w:r>
    </w:p>
    <w:p>
      <w:r>
        <w:rPr>
          <w:b/>
        </w:rPr>
        <w:t xml:space="preserve">Quelle: </w:t>
      </w:r>
      <w:r>
        <w:t>https://mcp.opencaselaw.ch/entscheid/bger_1B_116_2021</w:t>
      </w:r>
    </w:p>
    <w:p>
      <w:r>
        <w:t>FR: TF 1B 116/2021 du 5 mai 2021</w:t>
      </w:r>
    </w:p>
    <w:p>
      <w:r>
        <w:t>IT: TF 1B 116/2021 del 5 maggio 2021</w:t>
      </w:r>
    </w:p>
    <w:p>
      <w:pPr>
        <w:pStyle w:val="Heading2"/>
      </w:pPr>
      <w:r>
        <w:t>Regeste</w:t>
      </w:r>
    </w:p>
    <w:p>
      <w:r>
        <w:t>procédure pénale; séquestre | Procédure pénale</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Le recours est dirigé contre une décision de la Cour des plaintes du Tribunal pénal fédéral qui rejette, dans la mesure de sa recevabilité, le recours dont la recourante l'avait saisie. Sur le fond, le litige se rapporte au refus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p. 358), nonobstant son caractère incident (cf. art. 93 al. 1 let. a LTF ; ATF 140 IV 57 consid. 2.3 p. 60).</w:t>
      </w:r>
    </w:p>
    <w:p>
      <w:r>
        <w:rPr>
          <w:b/>
        </w:rPr>
        <w:t>E. 3</w:t>
      </w:r>
    </w:p>
    <w:p>
      <w:r>
        <w:t>En vertu de l' art. 42 al. 1 LTF , les mémoires de recours doivent être motivés. Suivant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p. 106).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p. 65).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w:t>
      </w:r>
    </w:p>
    <w:p>
      <w:r>
        <w:rPr>
          <w:b/>
        </w:rPr>
        <w:t>E. 4</w:t>
      </w:r>
    </w:p>
    <w:p>
      <w:r>
        <w:t>Dans la mesure où le recours contre la décision du 30 décembre 2020 devait être rejeté sur le fond (cf. consid. 5.3 infra), la Cour des plaintes a renoncé à se prononcer sur la recevabilité du recours au regard de l' art. 382 al. 1 CPP . Elle a néanmoins tenu pour douteuse la légitimation du prévenu B.________ à engager la société recourante dans ses démarches judiciaires, alors qu'il n'était même pas acquis que celle-ci, régie par le droit de l'État caribéen de Saint-Vincent-et-les-Grenadines, était encore valablement constituée au moment du dépôt du recours (cf. décision attaquée, consid. 1.3 p. 5). La recourante objecte à cet égard que les deux attestations produites devant les instances précédentes ( Certificates of Incumbency ), établies le 14 août 2020, suffisaient à démontrer le pouvoir de représentation de B.________ à son égard. S'il peut paraître à première vue formaliste de considérer que ces documents - signés par des agents agréés ( Registered Agents ), apostillés et relativement récents - ne permettent pas d'établir à satisfaction l'existence d'un pouvoir de représentation, il n'y a cependant pas matière à examiner plus avant cet aspect du litige, dès lors que, comme on va le voir ci-après, les critiques de la recourante, quant au rejet de son recours par l'autorité précédente, sont de toute façon irrecevables.</w:t>
      </w:r>
    </w:p>
    <w:p>
      <w:r>
        <w:rPr>
          <w:b/>
        </w:rPr>
        <w:t>E. 5.1</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1B_414/2019 du 13 janvier 2020 consid. 2.1). Les probabilités d'une confiscation doivent cependant se renforcer au cours de l'instruction ( ATF 122 IV 91 consid. 4 p. 96). Un séquestre peut en effet apparaître disproportionné lorsque la procédure dans laquelle il s'inscrit s'éternise sans motifs suffisants ( ATF 132 I 229 consid. 11.6 p. 247). Si une telle mesure provisoire se prolonge indûment, un délai raisonnable peut encore être fixé pour procéder aux actes nécessaires et clore l'enquête. En outre, pour respecter le principe de proportionnalité, l'étendue du séquestre doit rester en rapport avec le produit de l'infraction poursuivie ( ATF 130 II 329 consid. 6 p. 336; arrêts 1B_641/2020 du 10 mars 2021 consid. 2.1; 1B_343/2020 du 3 septembre 2020 consid. 3.1).</w:t>
      </w:r>
    </w:p>
    <w:p>
      <w:r>
        <w:rPr>
          <w:b/>
        </w:rPr>
        <w:t>E. 5.2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 art. 70 al. 2 CP ). Les conditions posées à l' art. 70 al. 2 CP sont cumulatives. Pour qu'un séquestre puisse être refusé à ce stade de la procédure en application de l' art. 70 al. 2 CP ,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existe (arrêts 1B_615/2020 du 2 mars 2021 consid. 2.2; 1B_76/2020 du 6 juillet 2020 consid. 4.3; 1B_59/2019 du 21 juin 2019 consid. 3.2 et les arrêts cités).</w:t>
      </w:r>
    </w:p>
    <w:p>
      <w:r>
        <w:rPr>
          <w:b/>
        </w:rPr>
        <w:t>E. 5.3</w:t>
      </w:r>
    </w:p>
    <w:p>
      <w:r>
        <w:t>Il ressort de la décision attaquée que l'enquête menée par le Ministère public de la Confédération, en lien avec l'infraction de blanchiment d'argent reprochée à B.________, avait permis de rendre vraisemblable, pièces bancaires à l'appui, l'utilisation par ce dernier de comptes bancaires de diverses sociétés qu'il contrôlait, dont la recourante, aux fins d'y recueillir des fonds provenant d'activités illicites menées par le financier C.________. En particulier, les avoirs déposés sur le compte séquestré serait le produit d'une transaction d'or, opérée par E.________ Ltd, une autre société contrôlée par B.________, dont les comptes bancaires avaient été crédités d'une grande partie des fonds de C.________. Dans ces circonstances, l'autorité précédente a estimé qu'une confiscation demeurait possible à l'issue de la procédure, de sorte que le séquestre devait être maintenu (cf. décision attaquée, consid. 2.3.1 p. 8).</w:t>
      </w:r>
    </w:p>
    <w:p>
      <w:r>
        <w:rPr>
          <w:b/>
        </w:rPr>
        <w:t>E. 5.4</w:t>
      </w:r>
    </w:p>
    <w:p>
      <w:r>
        <w:t>A l'instar de ce qui prévalait dans le cadre de l'arrêt du Tribunal fédéral 1B_323/2017 du 7 août 2017, dont l'objet portait également sur le maintien du séquestre litigieux, la recourante se borne une nouvelle fois à contester toute implication dans le mécanisme de blanchiment d'argent mis en place par B.________ pour le compte de C.________. Elle soutient en particulier que l'origine de ses fonds serait parfaitement licite et l'identité de son ayant droit économique connue, ainsi que cela ressortait de la documentation bancaire établie lors de l'ouverture du compte séquestré. Ce faisant, elle n'avance toutefois aucun élément concret et crédible propre à infirmer le raisonnement de l'autorité précédente, qui repose sur des rapports détaillés quant aux montages financiers opérés par les différents protagonistes de l'affaire (cf. arrêt 1B_323/2017 précité consid. 5). De tels développements ne répondent pas aux exigences des art. 42 al. 2 et 106 al. 2 LTF et sont partant irrecevables.</w:t>
      </w:r>
    </w:p>
    <w:p>
      <w:r>
        <w:rPr>
          <w:b/>
        </w:rPr>
        <w:t>E. 5.5</w:t>
      </w:r>
    </w:p>
    <w:p>
      <w:r>
        <w:t>Au reste, en tant que la recourante reproche à la Présidente de la Cour des affaires pénales d'avoir refusé sa participation aux débats, qui se sont tenus du 26 janvier au 11 février 2021, ses développements s'écartent de l'objet du litige, qui porte exclusivement sur l'examen des conditions d'un maintien du séquestre litigieux. Ce grief est dès lors également irrecevable. Il en va enfin de même lorsque la recourante se plaint de la " vendetta " opérée depuis 12 ans contre le prévenu B.________. En l'état, les critiques quant à la durée de la procédure paraissent d'autant plus mal fondées qu'un jugement au fond devrait être sur le point rendu par la Cour des affaires pénales ensuite des débats précités, menés en début d'année.</w:t>
      </w:r>
    </w:p>
    <w:p>
      <w:r>
        <w:rPr>
          <w:b/>
        </w:rPr>
        <w:t>E. 6</w:t>
      </w:r>
    </w:p>
    <w:p>
      <w:r>
        <w:t>Il s'ensuit que le recours est irrecevable. La recourante,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