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1B_116/2019 vom 11. April 2019</w:t>
      </w:r>
    </w:p>
    <w:p>
      <w:r>
        <w:t>Bundesgericht, 2019-04-11, DE</w:t>
      </w:r>
    </w:p>
    <w:p>
      <w:r>
        <w:rPr>
          <w:b/>
        </w:rPr>
        <w:t xml:space="preserve">Quelle: </w:t>
      </w:r>
      <w:r>
        <w:t>https://mcp.opencaselaw.ch/entscheid/bger_1B_116_2019</w:t>
      </w:r>
    </w:p>
    <w:p>
      <w:r>
        <w:t>FR: TF 1B_116/2019 du 11 avril 2019</w:t>
      </w:r>
    </w:p>
    <w:p>
      <w:r>
        <w:t>IT: TF 1B_116/2019 del 11 aprile 2019</w:t>
      </w:r>
    </w:p>
    <w:p>
      <w:pPr>
        <w:pStyle w:val="Heading2"/>
      </w:pPr>
      <w:r>
        <w:t>Erwägungen</w:t>
      </w:r>
    </w:p>
    <w:p>
      <w:r>
        <w:rPr>
          <w:b/>
        </w:rPr>
        <w:t>E. 1</w:t>
      </w:r>
    </w:p>
    <w:p>
      <w:r>
        <w:t>Gegen den angefochtenen Entscheid ist die Beschwerde in Strafsachen nach Art. 78 ff. BGG gegeben. Der Beschwerdeführer ist nach Art. 81 Abs. 1 BGG zur Beschwerde berechtigt. Auf sein Rechtsmittel ist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S. 163 f.; 139 IV 191 E. 4.1 f. S. 194; 117 Ia 72 E. 1d S. 79 f.;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weder das Vorliegen eines dringenden Tatverdachts noch die Fluchtgefahr. Er macht einzig geltend, es liege Überhaft vor.</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143 IV 168 E. 5.1 S. 173 mit Hinweisen). Diese Grenze ist insbesondere deshalb bedeutsam, weil das erkennende Gericht dazu neigen könnte, die Dauer der erstandenen Haft bei der Strafzumessung mitzuberücksichtigen ( BGE 133 I 270 E. 3.4.2 S. 282 ; 124 I 208 E. 6 S. 215; Urteil 1B_413/2017 23. Oktober 2017 E. 4.2; je mit Hinweisen).</w:t>
      </w:r>
    </w:p>
    <w:p>
      <w:r>
        <w:rPr>
          <w:b/>
        </w:rPr>
        <w:t>E. 3.2</w:t>
      </w:r>
    </w:p>
    <w:p>
      <w:r>
        <w:t>Das Obergericht hält fest, das Bundesgericht habe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unverhältnismässig angesehen. Angesichts der jüngeren Rechtsprechung bestehe jedoch im Rahmen des Haftprüfungsverfahrens bei einer erstinstanzlich ausgesprochenen Landesverweisung nach Art. 66a StGB kaum noch Raum für die Berücksichtigung der Möglichkeit einer bedingten Entlassung ( BGE 143 IV 168 und Urteil 1B_262/2018 vom 20. Juni 2018). Da die erlittene Haft die Dauer der ausgesprochenen Freiheitsstrafe klarerweise nicht übersteige und zudem angesichts der auf den 9. April 2019 festgesetzten Berufungsverhandlung ein baldiger Entscheid über die Berufung zu erwarten sei, sei das Gesuch um Entlassung aus dem vorzeitigen Strafvollzug bereits aus diesen Gründen abzuweisen. Hinzu komme, dass bei der Beurteilung der Verhältnismässigkeit die Möglichkeit der bedingten Entlassung aus dem Strafvollzug nach Verbüssen von zwei Dritteln der Freiheitsstrafe ( Art. 86 Abs. 1 StGB ) ohnehin nur ausnahmsweise zu berücksichtigen wäre, insbesondere wenn absehbar sei, dass eine bedingte Entlassung mit grosser Wahrscheinlichkeit erfolgen dürfte. Dies sei hier nicht der Fall, da die Legalprognose zumindest als unsicher erscheine.</w:t>
      </w:r>
    </w:p>
    <w:p>
      <w:r>
        <w:rPr>
          <w:b/>
        </w:rPr>
        <w:t>E. 3.3</w:t>
      </w:r>
    </w:p>
    <w:p>
      <w:r>
        <w:t>Entgegen der Auffassung der Vorinstanz geht aus der jüngeren Rechtsprechung des Bundesgerichts nicht hervor, dass im Rahmen des Haftprüfungsverfahrens bei einer erstinstanzlich ausgesprochenen Landesverweisung nach Art. 66a StGB kein bzw. kaum noch Raum für die Berücksichtigung der Möglichkeit einer bedingten Entlassung besteht. Im von ihr erwähnten BGE 143 IV 168 war der Beschwerdeführer erstinstanzlich zu einer bedingten Freiheitsstrafe von zwei Jahren und einer Landesverweisung verurteilt worden. Weil die Frist für eine Anschlussberufung der Staatsanwaltschaft noch nicht abgelaufen war, bestand jedoch die Möglichkeit, dass die Freiheitsstrafe im Rechtsmittelverfahren unbedingt ausgesprochen werden würde, weshalb sich die erstandene Untersuchungshaft von etwas mehr als drei Monaten ohne Weiteres als verhältnismässig erwies (a.a.O., E. 5.1 f. S. 173 f. mit Hinweisen). Im Verfahren 1B_262/2018 hatte der Beschwerdeführer geltend gemacht, dass er die erstinstanzlich ausgesprochene unbedingte Freiheitsstrafe von 12 Monaten im Zeitpunkt seiner Beschwerde ans Bundesgericht durch strafprozessuale Haft vollständig verbüsst habe. Das Bundesgericht berücksichtigte bei seiner Beurteilung indessen, dass ihm darüber hinaus konkret die Umwandlung einer Geldstrafe von 236 Tagessätzen in eine Freiheitsstrafe drohte, weshalb Überhaft verneint werden konnte und die Voraussetzungen der bedingten Entlassung von Art. 86 Abs. 1 StGB (noch) nicht zur Diskussion standen (Urteil 1B_262/2018 vom 20. Juni 2018 E. 3 mit Hinweisen).</w:t>
      </w:r>
    </w:p>
    <w:p>
      <w:r>
        <w:rPr>
          <w:b/>
        </w:rPr>
        <w:t>E. 3.4</w:t>
      </w:r>
    </w:p>
    <w:p>
      <w:r>
        <w:t>Liegt bereits ein richterlicher Entscheid über das Strafmass vor, stellt dieser ein wichtiges Indiz für die mutmassliche Dauer der tatsächlich zu verbüssenden Strafe dar ( BGE 143 IV 160 E. 4.1 S. 165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143 IV 168 E. 5.1 S. 173; 160 E. 4.2 S. 166; je mit Hinweisen). Im vorliegenden Fall besteht gestützt auf die Akten kein Anlass, von diesem Grundsatz ausnahmsweise abzuweichen.</w:t>
      </w:r>
    </w:p>
    <w:p>
      <w:r>
        <w:rPr>
          <w:b/>
        </w:rPr>
        <w:t>E. 3.5</w:t>
      </w:r>
    </w:p>
    <w:p>
      <w:r>
        <w:t>Damit bleibt zu prüfen, ob die Haftdauer unabhängig von der Nichtberücksichtigung der Möglichkeit der bedingten Entlassung in grosse Nähe zur zu erwartenden Freiheitsstrafe rückt. In dieser Hinsicht ist zutreffend, dass das Bundesgericht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unverhältnismässig angesehen hat (Urteile 1P.219/2000 vom 20. April 2000 E. 2d und 1P.256/2000 vom 12. Mai 2000 E. 2d). Auch in neueren Urteilen hat das Bundesgericht zum Teil auf das Mass von drei Vierteln hingewiesen (vgl. etwa Urteil 1B_23/2019 vom 28. Januar 2019 E. 2.2), freilich ohne dass es jemals die Regel formuliert hätte, dass nach deren Ablauf automatisch von Überhaft auszugehen wäre. Im Sinne einer Klarstellung ist deshalb zu bestätigen, dass der Verhältnismässigkeitsgrundsatz von den Behörden verlangt, umso zurückhaltender zu sein, als sich die Haft der zu erwartenden Freiheitsstrafe nähert; dabei ist jedoch nicht das Verhältnis der erstandenen Haftdauer zur zu erwartenden Freiheitsstrafe als solches entscheidend, sondern ist vielmehr auf die Umstände des Einzelfalls abzustellen.</w:t>
      </w:r>
    </w:p>
    <w:p>
      <w:r>
        <w:rPr>
          <w:b/>
        </w:rPr>
        <w:t>E. 3.6</w:t>
      </w:r>
    </w:p>
    <w:p>
      <w:r>
        <w:t>Der Beschwerdeführer wurde erstinstanzlich zu einer Freiheitsstrafe von 26 Monaten als Zusatzstrafe zu einer noch nicht verbüssten Freiheitsstrafe von 6 Monaten verurteilt. Insgesamt drohen ihm deshalb 32 Monate Freiheitsentzug. Da die Staatsanwaltschaft keine Berufung erhoben hat, kann die Strafe im Rechtsmittelverfahren nicht erhöht werden. Im Zeitpunkt des angefochtenen Entscheids hatte der Beschwerdeführer 22,5 Monate in Haft oder im vorzeitigen Strafvollzug verbracht, im jetzigen Zeitpunkt sind es gut 24 Monate. Angesichts des verbleibenden zu erwartenden Strafrests von immerhin 8 Monaten droht auch im jetzigen Zeitpunkt noch keine Überhaft.</w:t>
      </w:r>
    </w:p>
    <w:p>
      <w:r>
        <w:rPr>
          <w:b/>
        </w:rPr>
        <w:t>E. 3.7</w:t>
      </w:r>
    </w:p>
    <w:p>
      <w:r>
        <w:t>Die Rüge des Beschwerdeführers ist somit unbegründet. Immerhin ist darauf hinzuweisen, dass vor dem Hintergrund der bereits abgelaufenen Haftdauer das Berufungsgericht der Verhältnismässigkeit der Haft und insbesondere auch dem Beschleunigungsgebot in Haftsachen ( Art. 31 Abs. 3-4 BV , Art. 5 Abs. 3-4 EMRK , Art. 5 Abs. 2 StPO ) ein besonderes Augenmerk zu schenken haben wird.</w:t>
      </w:r>
    </w:p>
    <w:p>
      <w:r>
        <w:rPr>
          <w:b/>
        </w:rPr>
        <w:t>E. 4</w:t>
      </w:r>
    </w:p>
    <w:p>
      <w:r>
        <w:t>Die Beschwerde ist aus den genannten Erwägungen abzuweisen.</w:t>
      </w:r>
    </w:p>
    <w:p>
      <w:r>
        <w:t>Der Beschwerdeführer stellt ein Gesuch um unentgeltliche Prozessführung und Rechtsverbeiständung für das bundesgerichtliche Verfahren. Da die gesetzlichen Voraussetzungen erfüllt sind, kann dem Gesuch entsprochen werden ( Art. 64 BGG ). Bei der Bemessung der Höhe der Entschädigung ist zu berücksichtigen, dass sich die Beschwerde über weite Strecken in einer unnötigen Wiedergabe des angefochtenen Entscheids in indirekter Rede erschöpft und eine Auseinandersetzung damit nur in marginaler Weise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