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116/2007 vom 10. Juli 2007</w:t>
      </w:r>
    </w:p>
    <w:p>
      <w:r>
        <w:t>Bundesgericht, 2007-07-10, FR</w:t>
      </w:r>
    </w:p>
    <w:p>
      <w:r>
        <w:rPr>
          <w:b/>
        </w:rPr>
        <w:t xml:space="preserve">Quelle: </w:t>
      </w:r>
      <w:r>
        <w:t>https://mcp.opencaselaw.ch/entscheid/bger_1B_116_2007</w:t>
      </w:r>
    </w:p>
    <w:p>
      <w:r>
        <w:t>FR: TF 1B 116/2007 du 10 juillet 2007</w:t>
      </w:r>
    </w:p>
    <w:p>
      <w:r>
        <w:t>IT: TF 1B 116/2007 del 10 luglio 2007</w:t>
      </w:r>
    </w:p>
    <w:p>
      <w:pPr>
        <w:pStyle w:val="Heading2"/>
      </w:pPr>
      <w:r>
        <w:t>Regeste</w:t>
      </w:r>
    </w:p>
    <w:p>
      <w:r>
        <w:t>détention préventive | Procédure pénale</w:t>
      </w:r>
    </w:p>
    <w:p>
      <w:pPr>
        <w:pStyle w:val="Heading2"/>
      </w:pPr>
      <w:r>
        <w:t>Erwägungen</w:t>
      </w:r>
    </w:p>
    <w:p>
      <w:r>
        <w:rPr>
          <w:b/>
        </w:rPr>
        <w:t>E. 1</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w:t>
      </w:r>
    </w:p>
    <w:p>
      <w:r>
        <w:rPr>
          <w:b/>
        </w:rPr>
        <w:t>E. 2</w:t>
      </w:r>
    </w:p>
    <w:p>
      <w:r>
        <w:t>Les mémoires de recours destinés au Tribunal fédéral, notamment en matière pénale, doivent être motivés. L' art. 42 al. 2 LTF exige en effet qu'ils exposent succinctement en quoi l'acte attaqué viole le droit. Lorsque, comme en l'espèce, la violation de droits fondamentaux est invoquée, l' art. 106 al. 2 LTF prévoit pour la motivation du recours des exigences qualifiées. De tels griefs doivent en effet être expressément soulevés et exposés de façon claire et détaillée dans le mémoire de recours, conformément à la pratique qui prévalait en matière de recours de droit public (cf. arrêt 1C_3/2007 du 20 juin 2007 destiné à la publication, consid. 1.4.2; ATF 130 I 26 consid. 2.1. p. 31, 258 consid. 1.3 p. 261s.; 129 I 113 consid. 2.1 p. 120; Message, FF 2001 p. 4142). En l'espèce, le recourant se borne à invoquer divers droits fondamentaux et à copier des extraits de la jurisprudence rendue à ce sujet, mais il n'explique pas en quoi ces droits auraient été violés dans le cas concret. Concernant la présomption d'innocence, il affirme seulement que la Chambre d'accusation a « omis de prendre en compte les divers éléments à décharge », mais il ne précise pas quels sont ces éléments. S'agissant du risque de fuite, il se limite à alléguer que « son frère, au bénéfice d'un permis C, est à Genève et s'est porté garant », sans davantage de motivation. Enfin, le grief relatif à l' art. 80 al. 2 LTF se limite à une citation de la disposition invoquée, ignorant au demeurant l' art. 130 al. 1 LTF . Dans ces conditions, il y a lieu de constater que le recours ne satisfait manifestement pas aux exigences formelles d'allégation et de motivation des art. 42 al. 2 et 106 al. 2 LTF.</w:t>
      </w:r>
    </w:p>
    <w:p>
      <w:r>
        <w:rPr>
          <w:b/>
        </w:rPr>
        <w:t>E. 3</w:t>
      </w:r>
    </w:p>
    <w:p>
      <w:r>
        <w:t>Il s'ensuit que le recours doit être déclaré irrecevable. Dès lors que les conclusions du recourant paraissaient d'emblée vouées à l'échec, l'assistance judiciaire ne lui est pas accordée ( art. 64 al. 1 LTF ). Les frais sont en principe mis à la charge de la partie qui succombe ( art. 66 al. 1 LTF ). Les frais causés inutilement sont supportés par celui qui les a engendrés ( art. 66 al. 3 LTF ). Le Tribunal fédéral peut ainsi exceptionnellement décider de mettre les frais non pas à la charge de la partie qui succombe mais à celle de son avocat personnellement ( ATF 129 IV 206 , consid. 2 p. 207 s.). En l'espèce, l'irrecevabilité du recours est imputable à la mandataire du recourant; on peut en effet attendre d'un avocat qui procède devant le Tribunal fédéral qu'il respecte les exigences minimales d'allégation des griefs et de motivation des recours. Au demeurant, s'il est vrai que l'ordonnance attaquée était également inconsistante - la Chambre d'accusation n'ayant fourni une motivation circonstanciée que dans sa détermination - l'avocate du recourant n'a pas formulé de grief à cet égard et elle n'a pas saisi l'opportunité de présenter des observations complémentaires dans le délai imparti à cet effet. Il se justifie donc de mettre l'émolument judiciaire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