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115/2008 vom 2. Juni 2008</w:t>
      </w:r>
    </w:p>
    <w:p>
      <w:r>
        <w:t>Bundesgericht, 2008-06-02, FR</w:t>
      </w:r>
    </w:p>
    <w:p>
      <w:r>
        <w:rPr>
          <w:b/>
        </w:rPr>
        <w:t xml:space="preserve">Quelle: </w:t>
      </w:r>
      <w:r>
        <w:t>https://mcp.opencaselaw.ch/entscheid/bger_1B_115_2008</w:t>
      </w:r>
    </w:p>
    <w:p>
      <w:r>
        <w:t>FR: TF 1B 115/2008 du 2 juin 2008</w:t>
      </w:r>
    </w:p>
    <w:p>
      <w:r>
        <w:t>IT: TF 1B 115/2008 del 2 giugno 2008</w:t>
      </w:r>
    </w:p>
    <w:p>
      <w:pPr>
        <w:pStyle w:val="Heading2"/>
      </w:pPr>
      <w:r>
        <w:t>Regeste</w:t>
      </w:r>
    </w:p>
    <w:p>
      <w:r>
        <w:t>refus de mise en liberté provisoire | Procédure pénale</w:t>
      </w:r>
    </w:p>
    <w:p>
      <w:pPr>
        <w:pStyle w:val="Heading2"/>
      </w:pPr>
      <w:r>
        <w:t>Erwägungen</w:t>
      </w:r>
    </w:p>
    <w:p>
      <w:r>
        <w:rPr>
          <w:b/>
        </w:rPr>
        <w:t>E. 1</w:t>
      </w:r>
    </w:p>
    <w:p>
      <w:r>
        <w:t>Les décisions relatives au maintien en détention préventive sont des décisions en matière pénale au sens de l' art. 78 al. 1 LTF (cf. ATF 133 I 270 consid. 1.1 p. 273; Message concernant la révision totale de l'organisation judiciaire fédérale du 28 février 2001, FF 2001 p. 4111). Formé en temps utile ( art. 100 al. 1 LTF ) contre des décisions prises en dernière instance cantonale ( art. 80 LTF ) et qui touchent le recourant dans ses intérêts juridiquement protégés (art. 81 al. 1 let. a et b ch. 1 LTF), le recours est recevable.</w:t>
      </w:r>
    </w:p>
    <w:p>
      <w:r>
        <w:rPr>
          <w:b/>
        </w:rPr>
        <w:t>E. 2</w:t>
      </w:r>
    </w:p>
    <w:p>
      <w:r>
        <w:t>Une mesure de détention préventive n'est compatible avec la liberté personnelle, garantie par les art. 10 al. 2 Cst. et 5 CEDH, que si elle repose sur une base légale (art. 31 al. 1 et 36 al. 1 Cst.), soit en l'espèce l' art. 34 CPP /GE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a à c CPP/GE). La gravité de l'infraction - et l'importance de la peine encourue - n'est, à elle seule, pas suffisante ( ATF 125 I 60 consid. 3a p. 62; 117 Ia 70 consid. 4a).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restreint de l'arbitraire ( ATF 123 I 268 consid. 2d p. 271; pour la définition de l'arbitraire, cf. art. 9 Cst. et ATF 132 I 13 consid. 5.1 p. 17; 131 I 217 consid. 2.1 p. 219; 129 I 8 consid. 2.1 p. 9; 128 I 273 consid. 2.1 p. 275). L'autorité cantonale dispose ainsi d'une grande liberté dans l'appréciation des faits ( ATF 114 Ia 283 consid. 3; 112 Ia 162 consid. 3b).</w:t>
      </w:r>
    </w:p>
    <w:p>
      <w:r>
        <w:rPr>
          <w:b/>
        </w:rPr>
        <w:t>E. 3</w:t>
      </w:r>
    </w:p>
    <w:p>
      <w:r>
        <w:t>Le recourant ne remet pas en cause l'existence de charges suffisantes, mais il soutient que son maintien en détention viole le principe de la proportionnalité.</w:t>
      </w:r>
    </w:p>
    <w:p>
      <w:r>
        <w:rPr>
          <w:b/>
        </w:rPr>
        <w:t>E. 3.1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132 I 21 consid. 4.1 p. 27; 128 I 149 consid. 2.2 p. 151; 107 Ia 256 consid. 2 et 3 p. 257 ss et les références). Il convient d'accorder une attention particulière à cette limite, car le juge de l'action pénale pourrait être enclin à prendre en considération dans la fixation de la peine la durée de la détention préventive à imputer selon l' art. 51 CP ( ATF 133 I 168 consid. 4.1 p. 170 et les arrêts cités). La détention extraditionnelle doit en principe être comptée dans la durée de la détention avant jugement au sens de cette disposition ( ATF 133 I 168 consid. 4.1 p. 171). Selon la jurisprudence concordante du Tribunal fédéral et de la Cour européenne des droits de l'homme, la proportionnalité de la durée de la détention doit être examinée au regard de l'ensemble des circonstances concrètes du cas d'espèce ( ATF 132 I 21 consid. 4.1 p. 28; 124 I 208 consid. 6 p. 215; 123 I 268 consid. 3a p. 273). Le fait que la peine menaçant l'intéressé puisse être assortie du sursis ne doit en principe pas être pris en considération dans l'appréciation de la proportionnalité de la détention préventive ( ATF 133 I 270 consid. 3.4.2 p. 282; 125 I 60 consid. 3d p. 64 et les arrêts cités).</w:t>
      </w:r>
    </w:p>
    <w:p>
      <w:r>
        <w:rPr>
          <w:b/>
        </w:rPr>
        <w:t>E. 3.2</w:t>
      </w:r>
    </w:p>
    <w:p>
      <w:r>
        <w:t>En l'occurrence, la durée de la détention avant jugement subie par le recourant atteignait environ dix-sept mois au moment des décisions attaquées. Selon l'ordonnance de la Chambre d'accusation du 15 avril 2008, le recourant a été renvoyé en jugement pour les infractions d'escroquerie ( art. 146 CP ), de banqueroute frauduleuse ( art. 163 ch. 1 CP ), de gestion fautive ( art. 165 ch. 1 CP ) et de faux dans les titres ( art. 251 ch. 1 CP ), toutes passibles d'une peine privative de liberté de cinq ans au plus. Compte tenu des règles sur le concours d'infractions ( art. 49 CP ), il encourt une peine privative de liberté d'une durée maximale de sept ans et demi. Dans ces conditions, vu notamment le nombre d'infractions imputées au recourant et l'importance des sommes en jeu, il y a lieu de considérer que la durée de la détention préventive et extraditionnelle déjà subie est encore compatible avec la peine privative de liberté à laquelle l'intéressé est exposé concrètement en cas de condamnation. De plus, contrairement à ce que semble soutenir le recourant, il n'y a pas lieu de prendre en compte un éventuel octroi du sursis pour apprécier la proportionnalité de la détention avant jugement. Enfin, il n'apparaît pas que cette détention doive se prolonger au-delà de la durée admissible, dans la mesure où l'instruction est désormais terminée, l'audience de jugement étant fixée au début du mois de septembre. En définitive, la durée de la détention préventive subie à ce jour par le recourant est certes relativement importante, mais elle reste conforme au principe de la proportionnalité.</w:t>
      </w:r>
    </w:p>
    <w:p>
      <w:r>
        <w:rPr>
          <w:b/>
        </w:rPr>
        <w:t>E. 4</w:t>
      </w:r>
    </w:p>
    <w:p>
      <w:r>
        <w:t>Le recourant se plaint également d'une violation du principe de la célérité.</w:t>
      </w:r>
    </w:p>
    <w:p>
      <w:r>
        <w:rPr>
          <w:b/>
        </w:rPr>
        <w:t>E. 4.1</w:t>
      </w:r>
    </w:p>
    <w:p>
      <w:r>
        <w:t>L'incarcération peut aussi être disproportionnée en cas de retard injustifié dans le cours de la procédure pénale ( ATF 128 I 149 consid. 2.2.1 p. 151 s.;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 Après la clôture de l'instruction, le prévenu doit en principe être renvoyé devant le juge du fond dans un délai qui, pour être conforme aux exigences des art. 10 Cst. et 5 par. 3 CEDH, ne devrait pas excéder quelques semaines, voire quelques mois (arrêt 1P.540/2002 du 4 novembre 2002 consid. 4.3). Ainsi, en l'absence de circonstances particulières, un délai de sept mois, uniquement justifié par la surcharge de l'autorité de jugement, est incompatible avec le principe de célérité (arrêt 1P.750/1999 du 23 décembre 1999 consid. 2d/ee). En revanche, un délai de quatre mois entre le renvoi et le jugement peut encore être considéré comme admissible, même s'il n'est pas justifié par les difficultés particulières de la cause (arrêt 1B_97/2007 du 20 juin 2007 consid. 3.2). Un délai de plusieurs mois peut se révéler nécessaire dans des procès particulièrement complexes, aux multiples ramifications, impliquant plusieurs inculpés et nécessitant une préparation méticuleuse des débats et de nombreux actes d'instruction; ainsi, on peut tolérer un délai de six mois entre la mise en accusation et l'ouverture des débats s'agissant d'une affaire de criminalité économique à grande échelle revêtant une complexité particulière et impliquant plusieurs intervenants (arrêt 1B_295/2007 du 22 janvier 2008 consid. 2.3). De même, dans une affaire d'une ampleur exceptionnelle, impliquant en outre des mesures de sécurité importantes durant les débats, un délai d'environ huit mois est encore tout juste compatible avec le principe de célérité (arrêt 1B_95/2008 du 14 mai 2008 consid. 5.4).</w:t>
      </w:r>
    </w:p>
    <w:p>
      <w:r>
        <w:rPr>
          <w:b/>
        </w:rPr>
        <w:t>E. 4.2</w:t>
      </w:r>
    </w:p>
    <w:p>
      <w:r>
        <w:t>En l'espèce, le recourant n'invoque pas de manquements précis, mais il affirme qu'il est contraire au principe de célérité de fixer le jour de l'audience de jugement sept mois après la clôture de l'instruction, respectivement cinq mois après l'ordonnance de renvoi. Le délai entre la clôture de l'instruction et l'ordonnance de renvoi ne fait pas l'objet de critiques; il apparaît au demeurant que le Procureur général n'a pas tardé à déposer ses réquisitions et qu'une audience a été fixée dans un délai encore raisonnable pour entendre les parties, la coaccusée du recourant s'étant en outre opposée au renvoi en jugement selon les réquisitions du procureur. Il reste donc uniquement à examiner si le délai entre l'ordonnance de renvoi et l'audience de jugement est conforme au principe de célérité. Cette audience a été fixée du 1er au 5 septembre 2008, soit quatre mois et demi après l'ordonnance de renvoi du 15 avril 2008. Sur le vu de la jurisprudence susmentionnée et de la relative complexité de la cause, ce délai peut encore être considéré comme admissible, compte tenu du fait que le recourant a choisi d'être jugé par la Cour correctionnelle siégeant avec le concours du jury, ce qui implique vraisemblablement des délais de convocation plus longs. Pour le surplus, le recourant n'explique pas en quoi les autorités d'instruction auraient particulièrement manqué de diligence et on ne saurait leur reprocher une quelconque lenteur de la procédure en raison de la détention extraditionnelle subie à l'étranger, l'attitude du recourant n'apparaissant du reste pas sans incidence sur la durée de celle-ci. De même, il n'y a pas lieu de prendre en compte les démarches entreprises par les coaccusés du recourant en vue de reporter l'audience de jugement. En l'état, le principe de célérité est donc respecté.</w:t>
      </w:r>
    </w:p>
    <w:p>
      <w:r>
        <w:rPr>
          <w:b/>
        </w:rPr>
        <w:t>E. 5</w:t>
      </w:r>
    </w:p>
    <w:p>
      <w:r>
        <w:t>Dans un grief sommairement motivé, le recourant conteste l'existence d'un risque de fuite. Il affirme seulement que ce risque n'existe pas, compte tenu du fait que la détention subie atteindrait "la totalité de la partie ferme de la peine qui pourrait être prononcée contre lui, sans parler de la possibilité d'obtenir un sursis partiel, voire intégral". Il n'aurait dès lors aucun intérêt à fuir. Il est douteux que ce moyen satisfasse aux exigences minimales de motivation des art. 42 al. 2 et 106 al. 2 LTF. Au demeurant, l'argumentation du recourant revient à contester ou à minimiser l'importance des charges retenues contre lui, ce qu'il faisait déjà au moment où il s'est réfugié à l'étranger après sa libération provisoire en 2005, omettant de se présenter à toutes les audiences du juge d'instruction de sorte qu'un mandat d'arrêt international a dû être délivré à son encontre. Ce comportement et les autres éléments relevés par l'autorité intimée - notamment la nationalité française du prévenu et ses liens étroits avec son pays d'origine - suffisent manifestement à établir l'existence d'un risque de fuite, de sorte que ce grief doit être rejeté.</w:t>
      </w:r>
    </w:p>
    <w:p>
      <w:r>
        <w:rPr>
          <w:b/>
        </w:rPr>
        <w:t>E. 6</w:t>
      </w:r>
    </w:p>
    <w:p>
      <w:r>
        <w:t>Enfin, le recourant reproche à l'autorité intimée d'avoir refusé de fixer une caution.</w:t>
      </w:r>
    </w:p>
    <w:p>
      <w:r>
        <w:rPr>
          <w:b/>
        </w:rPr>
        <w:t>E. 6.1</w:t>
      </w:r>
    </w:p>
    <w:p>
      <w:r>
        <w:t>La mise en liberté provisoire peut être accordée moyennant sûretés ou obligations ( art. 155 CPP /GE), dont le but est de garantir la présence de l'inculpé aux actes de la procédure et sa soumission au jugement ( art. 156 al. 1 CPP /GE). Ces dispositions correspondent à l'art. 5 par. 3, dernière phrase, CEDH, à teneur duquel la mise en liberté peut être subordonnée à une garantie assurant la comparution de l'inculpé à l'audience. Comme succédané de la détention préventive, la mise en liberté sous caution ou moyennant le versement de sûretés est une application du principe de la proportionnalité ( ATF 107 Ia 206 consid. 2a p. 208). Lorsque cela est possible, elle doit donc remplacer la détention, qui ne peut être maintenue qu'en tant qu'ultima ratio (cf. ATF 123 I 268 consid. 2c p. 271). La libération moyennant sûretés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 ATF 105 Ia 186 consid. 4a p. 187, citant l'arrêt rendu le 27 juin 1968 par la Cour européenne des droits de l'homme dans l'affaire Neumeister c. Autriche, Série A, vol. 7, par. 14; cf. arrêt 1P.165/2006 du 19 avril 2006 consid. 3.2.1, publié in SJ 2006 I p. 395). Il convient de faire preuve de prudence quant à l'origine des fonds proposés comme sûretés, en particulier lorsque l'instruction porte sur des détournements de fonds (cf. arrêt 1P.570/2003 du 20 octobre 2003 et les références, arrêt de la Cour européenne des droits de l'homme Punzelt c. République tchèque, du 25 avril 2000, par. 85 ss). Enfin, si la caution doit être fournie par un tiers, il y a lieu de prendre en considération les relations personnelles et financières du prévenu avec cette personne (arrêt 1P.690/2004 du 14 décembre 2004 consid. 2.4.3 et les références).</w:t>
      </w:r>
    </w:p>
    <w:p>
      <w:r>
        <w:rPr>
          <w:b/>
        </w:rPr>
        <w:t>E. 6.2</w:t>
      </w:r>
    </w:p>
    <w:p>
      <w:r>
        <w:t>En l'espèce, le recourant reproche à la Chambre d'accusation d'avoir omis de fixer le montant d'une caution, alors qu'elle était en mesure de le faire sur la base des informations qu'il avait données lors de l'audience du 11 décembre 2007. En réalité, lors de cette audience le recourant n'a donné que de vagues renseignements sur sa situation personnelle et financière. Il s'est borné à déclarer qu'avant son arrestation il vivait chez sa grand-mère, qu'en 2006 il avait un revenu de 450 euros par mois, qu'il n'avait pas de fortune, mais des dettes à hauteur de 1'000'000 d'euros et qu'il avait investi tout ce qu'il avait dans la société "X.________". A l'appui de sa demande de libération, il n'a cependant déposé aucune pièce susceptible d'étayer ces affirmations. Sur le vu de ses déclarations, le recourant n'apparaissait pas en mesure de fournir lui-même des sûretés, de sorte que le caractère approprié de la garantie devait s'apprécier au regard des liens de l'intéressé avec les personnes éventuellement appelées à servir de cautions et de la confiance que l'on pouvait avoir que la perspective de perte des sommes versées en garantie soit suffisamment dissuasive. Faute de renseignements sur les personnes en question, la Chambre d'accusation ne pouvait pas apprécier le caractère approprié de la garantie proposée. A cela s'ajoute le fait que la nature des infractions reprochées au recourant imposait à l'autorité intimée une certaine prudence quant à l'origine des fonds proposés à titre de garantie. Il appartenait donc au recourant de donner des informations précises sur ce point. A cet égard, il n'y a pas lieu de prendre en considération les documents déposés par le recourant à l'appui de ses observations complémentaires devant la Cour de céans, dès lors que la Chambre d'accusation n'en avait pas connaissance lorsqu'elle a rendu les ordonnances attaquées. Quoi qu'il en soit, le montant de 40'000 fr. évoqué par le recourant apparaissait manifestement insuffisant, dans la mesure où la caution de 300'000 fr. versée en 2005 ne l'avait pas empêché de se soustraire à l'instruction en se réfugiant à l'étranger. La Chambre d'accusation n'a donc pas violé le principe de proportionnalité en considérant qu'une libération sous caution aux conditions proposées par le recourant n'était pas envisageable en l'espèce et en s'abstenant de fixer une nouvelle caution faute de renseignements suffisants sur la situation de l'intéressé.</w:t>
      </w:r>
    </w:p>
    <w:p>
      <w:r>
        <w:rPr>
          <w:b/>
        </w:rPr>
        <w:t>E. 7</w:t>
      </w:r>
    </w:p>
    <w:p>
      <w:r>
        <w:t>Il s'ensuit que le recours doit être rejeté, dans la mesure de sa recevabilité. La requête d'assistance judiciaire doit également être rejetée, dans la mesure où le recourant n'a pas établi qu'il ne disposait pas de ressources suffisantes ( art. 64 al. 1 LTF ). Le fait que les autorités cantonales lui aient octroyé l'assistance judiciaire ne le dispensait pas de démontrer son indigence, ce qu'il ne fait aucunement puisqu'il se borne à se référer à ses déclarations lors de l'audience précitée du 11 décembre 2007 sans déposer de pièces permettant d'établir sa situation financière de façon suffisamment claire. L'intéressé avait pourtant déjà été rendu attentif à la nécessité d'établir son indigence, dans la mesure où le Tribunal fédéral lui avait refusé l'assistance judiciaire pour ce même motif dans un arrêt 1P.241/2006 du 15 juin 2006 auquel il peut être renvoyé (consid. 5 et 6).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