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114/2019 vom 2. April 2019</w:t>
      </w:r>
    </w:p>
    <w:p>
      <w:r>
        <w:t>Bundesgericht, 2019-04-02, DE</w:t>
      </w:r>
    </w:p>
    <w:p>
      <w:r>
        <w:rPr>
          <w:b/>
        </w:rPr>
        <w:t xml:space="preserve">Quelle: </w:t>
      </w:r>
      <w:r>
        <w:t>https://mcp.opencaselaw.ch/entscheid/bger_1B_114_2019</w:t>
      </w:r>
    </w:p>
    <w:p>
      <w:r>
        <w:t>FR: TF 1B 114/2019 du 2 avril 2019</w:t>
      </w:r>
    </w:p>
    <w:p>
      <w:r>
        <w:t>IT: TF 1B 114/2019 del 2 aprile 2019</w:t>
      </w:r>
    </w:p>
    <w:p>
      <w:pPr>
        <w:pStyle w:val="Heading2"/>
      </w:pPr>
      <w:r>
        <w:t>Regeste</w:t>
      </w:r>
    </w:p>
    <w:p>
      <w:r>
        <w:t>Strafverfahren; amtliche Verteidigung | Strafprozess</w:t>
      </w:r>
    </w:p>
    <w:p>
      <w:pPr>
        <w:pStyle w:val="Heading2"/>
      </w:pPr>
      <w:r>
        <w:t>Erwägungen</w:t>
      </w:r>
    </w:p>
    <w:p>
      <w:r>
        <w:rPr>
          <w:b/>
        </w:rPr>
        <w:t>E. 1.1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Urteil 1B_66/2015 vom 12. August 2015 E. 1, in: Pra 2015 Nr. 107 S. 872; je mit Hinweisen). Der Beschwerdeführer, der im Strafverfahren beschuldigt wird und dessen Gesuch um amtliche Verteidigung abgewiesen wurde, ist zur Beschwerdeführung befugt ( Art. 81 Abs. 1 BGG ). Die übrigen Sachurteilsvoraussetzungen geben zu keinen Bemerkungen Anlass. Auf die Beschwerde in Strafsachen ist einzutreten.</w:t>
      </w:r>
    </w:p>
    <w:p>
      <w:r>
        <w:rPr>
          <w:b/>
        </w:rPr>
        <w:t>E. 1.2</w:t>
      </w:r>
    </w:p>
    <w:p>
      <w:r>
        <w:t>Mit der Beschwerde in Strafsachen kann auch die Verletzung von Verfassungsrecht gerügt werden ( Art. 95 BGG ). Damit besteht kein Raum für die subsidiäre Verfassungsbeschwerde ( Art. 113 BGG ).</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Mit dieser Regelung der amtlichen Verteidigung wird die bisherige bundesgerichtliche Rechtsprechung zu Art. 29 Abs. 3 BV und Art. 6 Ziff. 3 lit. c EMRK für den Bereich des Strafprozessrechts umgesetzt ( BGE 143 I 164 E. 3.5 S. 174 mit Hinweis).</w:t>
      </w:r>
    </w:p>
    <w:p>
      <w:r>
        <w:rPr>
          <w:b/>
        </w:rPr>
        <w:t>E. 2.2</w:t>
      </w:r>
    </w:p>
    <w:p>
      <w:r>
        <w:t>Daraus, aber auch aus dem Wortlaut von Art. 132 Abs. 3 StPO ("jedenfalls dann nicht"), folgt, dass nicht automatisch von einem Bagatellfall auszugehen ist, wenn die im Gesetz genannten Schwellenwerte nicht erreicht sind.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 (zum Ganzen: BGE 143 I 164 E. 3.5 S. 174 f. mit Hinweisen).</w:t>
      </w:r>
    </w:p>
    <w:p>
      <w:r>
        <w:rPr>
          <w:b/>
        </w:rPr>
        <w:t>E. 2.3</w:t>
      </w:r>
    </w:p>
    <w:p>
      <w:r>
        <w:t>Das Obergericht legt dar, dem Beschwerdeführer werde vorgeworfen, er habe gegenüber der Stadtpolizei angegeben, dass der inzwischen verstorbene B.________ das Auto "VW Caddy" unter Missachtung eines audienzrichterlichen Verbots parkiert habe, obwohl er gewusst habe, dass dies nicht stimmte. Die Stadtpolizei gehe davon aus, dass der Beschwerdeführer selbst das Auto im betreffenden Ort parkiert habe. Dabei handle es sich um einen sehr einfachen Sachverhalt. Es stünden die Straftatbestände der falschen Anschuldigung ( Art. 303 Ziff. 2 StGB ) und die Missachtung eines gerichtlichen Verbots ( Art. 258 ZPO ) im Raum. Der ursprüngliche Vorwurf des Überlassens eines Motorfahrzeugs an eine nichtführungsberechtigte Person ( Art. 95 Abs. 1 lit. e SVG ) dürfte dagegen wegfallen, was dem Beschwerdeführer am Ende der polizeilichen Einvernahme vom 26. April 2018 mitgeteilt worden sei. Da er nicht vorbestraft sei, sei im Fall der Verurteilung nicht mit einer Freiheitsstrafe von mehr als vier Monaten oder einer Geldstrafe von mehr als 120 Tagessätzen zu rechnen. Vor diesem Hintergrund sei von einem Bagatellfall auszugehen. Hinzu komme, dass der Beschwerdeführer selbst Jurist sei und sich differenziert ausdrücken könne. Schwierigkeiten tatsächlicher oder rechtlicher Art, denen er nicht gewachsen wäre, seien nicht zu erwarten. Die Verteidigung sei somit zur Wahrung seiner Interessen nicht geboten und es könne offenbleiben, ob er nicht über die erforderlichen Mittel verfüge.</w:t>
      </w:r>
    </w:p>
    <w:p>
      <w:r>
        <w:rPr>
          <w:b/>
        </w:rPr>
        <w:t>E. 2.4.1</w:t>
      </w:r>
    </w:p>
    <w:p>
      <w:r>
        <w:t>Der Beschwerdeführer rügt zunächst eine Verletzung des recht-lichen Gehörs ( Art. 29 Abs. 2 BV ), weil das Obergericht von drei Straftatbeständen ausgehe, die Oberstaatsanwaltschaft jedoch nur die falsche Anschuldigung diskutiert habe.</w:t>
      </w:r>
    </w:p>
    <w:p>
      <w:r>
        <w:rPr>
          <w:b/>
        </w:rPr>
        <w:t>E. 2.4.2</w:t>
      </w:r>
    </w:p>
    <w:p>
      <w:r>
        <w:t>Was dem Beschwerdeführer vorgeworfen wird, geht aus der polizeilichen Einvernahme vom 26. April 2018 und der staatsanwaltschaftlichen Einvernahme vom 5. Dezember 2018 ohne Weiteres hervor. Offenbar nahm die Polizei zunächst an, der Beschwerdeführer habe das erwähnte Auto B.________ überlassen gehabt, obwohl dieser über keinen Führerausweis mehr verfügte. An der Einvernahme konnte der Beschwerdeführer B.________ auf dem ihm vorgelegten Fotobogen jedoch nicht identifizieren, obwohl er zuvor angegeben hatte, es handle sich um einen Jasskumpel und er kenne ihn seit 30 Jahren. Es wurde ihm deshalb abschliessend mitgeteilt, es müsse davon ausgegangen werden, dass er das Fahrzeug selber parkiert habe, womit der Straftatbestand des Überlassens eines Motorfahrzeugs an eine nichtführungsberechtigte Person entfalle.</w:t>
      </w:r>
    </w:p>
    <w:p>
      <w:r>
        <w:rPr>
          <w:b/>
        </w:rPr>
        <w:t>E. 2.4.3</w:t>
      </w:r>
    </w:p>
    <w:p>
      <w:r>
        <w:t>Indem das Obergericht dem Beschwerdeführer diese Umstände erläuterte, welche ihm ohnehin bereits bekannt waren, verletzte es das rechtliche Gehör nicht. Es war der Beschwerdeführer selbst gewesen, der darauf hingewiesen hatte, dass es nicht lediglich um den Vorwurf der falschen Anschuldigung gehe. Er war damit in der Lage, seinen Standpunkt vorzutragen, ohne dass ihm das Obergericht vorgängig hätte mitteilen müssen, welche Straftatbestände zur Diskussion stehen.</w:t>
      </w:r>
    </w:p>
    <w:p>
      <w:r>
        <w:rPr>
          <w:b/>
        </w:rPr>
        <w:t>E. 2.5</w:t>
      </w:r>
    </w:p>
    <w:p>
      <w:r>
        <w:t>Weiter macht der Beschwerdeführer geltend, entgegen der Darstellung des Obergerichts gehe es nicht um eine Widerhandlung im Sinne von Art. 258 ZPO , sondern um Ungehorsam gegen amtliche Verfügung gemäss Art. 292 StGB . Falsche Anschuldigung gemäss Art. 303 Ziff. 2 StGB werde mit bis zu drei Jahren Freiheitsstrafe bedroht, dasselbe gelte für das Überlassen eines Motorfahrzeugs an eine nichtführungsberechtigte Person gemäss Art. 95 Abs. 1 lit. e SVG . Hinzu komme die Busse nach Art. 292 StGB . Es handle sich somit nicht um eine Bagatelle. Hinzu komme, dass mehrere Personen involviert seien, mit komplizierten Beweiserhebungen zu rechnen und zudem der Gerichtsstand bestritten sei. Er habe dem Obergericht beantragt, ein ärztlich-psychologisches Gutachten einzuholen, was dieses in willkürlicher Weise abgelehnt habe. Die Ausführungen im angefochtenen Entscheid zu den möglichen Schwierigkeiten des Verfahrens seien rein spekulativ, sei doch bereits klar, dass sehr anspruchsvolle Rechtsschriften verfasst werden müssten. Spekulativ und aktenwidrig sei auch die Annahme, der Vorwurf der Verletzung von Art. 95 Abs. 1 lit. e SVG würde wegfallen. Eine Einstellung sei in dieser Hinsicht noch nicht erfolgt.</w:t>
      </w:r>
    </w:p>
    <w:p>
      <w:r>
        <w:rPr>
          <w:b/>
        </w:rPr>
        <w:t>E. 2.6</w:t>
      </w:r>
    </w:p>
    <w:p>
      <w:r>
        <w:t>Aus den obigen Ausführungen ergibt sich, dass die Annahme, der Vorwurf der Verletzung von Art. 95 Abs. 1 lit. e SVG würde wegfallen, nicht zu beanstanden ist. Gestützt auf die erwähnte polizeiliche Befragung ist davon auszugehen, dass dem Beschwerdeführer nicht gleichzeitig die falsche Anschuldigung einer Drittperson und das rechtswidrige Überlassen eines Motorfahrzeugs an dieselbe vorgeworfen werden kann. Da aus dem Protokoll auch hervorgeht, dass er die betreffende Person nicht identifizieren konnte, ist nicht ersichtlich, inwiefern die Feststellung der Vorinstanz aktenwidrig sein sollte. Damit steht im Wesentlichen die falsche Anschuldigung zur Diskussion, da Art. 258 ZPO bzw. der nach Auffassung des Beschwerdeführers anwendbare Art. 292 StGB lediglich eine Busse vorsehen. Angesichts des Umstands, dass der Beschwerdeführer nicht vorbestraft ist, ist im Fall der Verurteilung bloss eine leichte Strafe zu erwarten. Da der Sachverhalt zudem einfach gelagert ist und der Beschwerdeführer sogar über eine juristische Ausbildung verfügt, ist eine amtliche Verteidigung nicht erforderlich. Daran ändert nichts, dass er den Gerichtsstand bestreitet. Schliesslich durfte das Obergericht, ohne in Willkür zu verfallen, von der Einholung eines Gutachtens absehen, da der Beschwerdeführer keine konkreten Hinweise auf eine Einschränkung seiner geistigen Fähigkeiten geben konnte.</w:t>
      </w:r>
    </w:p>
    <w:p>
      <w:r>
        <w:rPr>
          <w:b/>
        </w:rPr>
        <w:t>E. 3</w:t>
      </w:r>
    </w:p>
    <w:p>
      <w:r>
        <w:t>Aus dem Ausgeführten folgt, dass auf die subsidiäre Verfassungsbeschwerde nicht einzutreten und die Beschwerde in Strafsachen abzuweisen ist. Dem Gesuch um unentgeltliche Rechtspflege kann wegen Aussichtslosigkeit der Vorbringen nicht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