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114/2008 vom 16. Juni 2008</w:t>
      </w:r>
    </w:p>
    <w:p>
      <w:r>
        <w:t>Bundesgericht, 2008-06-16, FR</w:t>
      </w:r>
    </w:p>
    <w:p>
      <w:r>
        <w:rPr>
          <w:b/>
        </w:rPr>
        <w:t xml:space="preserve">Quelle: </w:t>
      </w:r>
      <w:r>
        <w:t>https://mcp.opencaselaw.ch/entscheid/bger_1B_114_2008</w:t>
      </w:r>
    </w:p>
    <w:p>
      <w:r>
        <w:t>FR: TF 1B 114/2008 du 16 juin 2008</w:t>
      </w:r>
    </w:p>
    <w:p>
      <w:r>
        <w:t>IT: TF 1B 114/2008 del 16 giugno 2008</w:t>
      </w:r>
    </w:p>
    <w:p>
      <w:pPr>
        <w:pStyle w:val="Heading2"/>
      </w:pPr>
      <w:r>
        <w:t>Regeste</w:t>
      </w:r>
    </w:p>
    <w:p>
      <w:r>
        <w:t>détention préventive; autorisation de visite | Procédure pénale</w:t>
      </w:r>
    </w:p>
    <w:p>
      <w:pPr>
        <w:pStyle w:val="Heading2"/>
      </w:pPr>
      <w:r>
        <w:t>Erwägungen</w:t>
      </w:r>
    </w:p>
    <w:p>
      <w:r>
        <w:rPr>
          <w:b/>
        </w:rPr>
        <w:t>E. 1</w:t>
      </w:r>
    </w:p>
    <w:p>
      <w:r>
        <w:t>Selon l' art. 78 al. 1 LTF , le recours est ouvert contre les décisions rendues en matière pénale, par quoi on entend toute décision fondée sur le droit pénal matériel ou sur le droit de procédure pénale ou, autrement dit, toute décision en relation avec la poursuite ou le jugement d'une infraction (cf. Message du 28 février 2001 relatif à la révision totale de l'organisation judiciaire fédérale; FF 2001, 4000 ss, 4111). Tel est le cas de la décision attaquée, qui est fondée sur l'art. 190 al. 1 du code de procédure pénale genevois (CPP/GE) et a pour cadre une contestation relative au droit de visite du prévenu en détention. Le recourant a qualité pour agir ( art. 81 al. 1 LTF ). Le recours est également recevable au regard des art. 90 ss LTF , que l'on considère la décision attaquée comme finale (rendue au terme d'une procédure distincte de l'instruction pénale; art. 90 LTF ) ou comme une décision incidente causant un dommage irréparable ( art. 93 al. 1 LTF ).</w:t>
      </w:r>
    </w:p>
    <w:p>
      <w:r>
        <w:rPr>
          <w:b/>
        </w:rPr>
        <w:t>E. 2</w:t>
      </w:r>
    </w:p>
    <w:p>
      <w:r>
        <w:t>Toutefois, le recours dirigé contre les actes d'instruction ordonnés en application des articles 63 [confrontation], 65, 76, 78 [expertises], 171, 172 [témoignages], 175, 177 [transports sur place], 183 et 184 [vérifications d'écritures] n'est pas recevable avant la communication du dossier au procureur général.</w:t>
      </w:r>
    </w:p>
    <w:p>
      <w:r>
        <w:rPr>
          <w:b/>
        </w:rPr>
        <w:t>E. 2.1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133 I 149 consid. 3.1 p. 153 et la jurisprudence citée).</w:t>
      </w:r>
    </w:p>
    <w:p>
      <w:r>
        <w:rPr>
          <w:b/>
        </w:rPr>
        <w:t>E. 2.2</w:t>
      </w:r>
    </w:p>
    <w:p>
      <w:r>
        <w:t>L' art. 190 CPP /GE a la teneur suivante: 1 Les parties peuvent recourir à la Chambre d'accusation contre les décisions du juge d'instruction. Le silence prolongé ou le refus de statuer, sans droit, est assimilé à une décision.</w:t>
      </w:r>
    </w:p>
    <w:p>
      <w:r>
        <w:rPr>
          <w:b/>
        </w:rPr>
        <w:t>E. 2.3</w:t>
      </w:r>
    </w:p>
    <w:p>
      <w:r>
        <w:t>La jurisprudence critiquée par le recourant repose sur la considération que la fonction de la Chambre d'accusation est le contrôle de l'instruction préparatoire et qu'elle n'examine, à ce titre, que les actes d'instruction proprement dits (Heyer/Monti, Procédure pénale genevoise, Chambre d'accusation, Exposé de la jurisprudence 1990-1998, SJ 1999 II 160, p. 185). Elle n'est donc pas compétente pour examiner les décisions d'ordre administratif, par exemple celles qui ont trait aux modalités de la détention (refus d'autorisation de téléphoner depuis la prison, cf. Harari/Roth/Straüli, Chronique de procédure pénale genevoise, SJ 1990 p. 417, 450), à l'admission par le juge d'instruction de la note d'honoraires d'un expert (Heyer/Monti, op. cit. p. 185) ou encore à la fixation de la date et de l'heure d'une audition de témoin (Poncet, Le nouveau code de procédure pénale annoté, Genève 1978 p. 269). Bien que la loi ne fasse aucune distinction entre décisions "juridictionnelles" et décisions "administratives", la jurisprudence de la Chambre d'accusation n'apparaît pas en soi insoutenable, dans la mesure où les exemples de décisions figurant à l' art. 190 al. 2 et 3 CPP /GE se rapportent eux aussi exclusivement à des actes d'instruction. L'application dans le cas concret apparaît toutefois arbitraire. En effet, la décision refusant un droit de visite au prévenu apparaît comme une modalité d'exécution du mandat d'arrêt. Or, la mise en détention préventive est une décision qui, sans constituer un acte d'instruction proprement dit, est soumise à recours auprès de la Chambre d'accusation (art. 151 al. 2 et 153 al. 1 CPP/GE). Cette dernière n'est donc pas seulement chargée du contrôle de l'instruction, mais aussi de la détention. Par ailleurs, comme cela résulte de la décision du Juge d'instruction, le refus de visite est motivé par l'existence d'un risque de collusion, soit un motif identique à celui qui le maintien en détention préventive (cf. art. 154 let. b et c CPP/GE). Dans ces circonstances, le refus d'autoriser des visites ne saurait être qualifié de décision purement administrative et ne saurait être soustrait à l'examen de la Chambre d'accusation. Par ailleurs, la confirmation d'une voie de droit cantonale existante correspond à l'obligation faite aux cantons de prévoir des tribunaux supérieurs ( art. 80 al. 2 LTF ).</w:t>
      </w:r>
    </w:p>
    <w:p>
      <w:r>
        <w:rPr>
          <w:b/>
        </w:rPr>
        <w:t>E. 3</w:t>
      </w:r>
    </w:p>
    <w:p>
      <w:r>
        <w:t>Le recours doit par conséquent être admis pour ce motif, sans qu'il soit besoin d'examiner les autres griefs relatifs aux art. 6 CEDH et 29 Cst., ainsi que les arguments soulevés sur le fond. La cause est renvoyée à la Chambre d'accusation afin qu'il soit statué sur le recours cantonal, sous réserve des autres conditions de recevabilité. Conformément à l' art. 68 al. 2 LTF , le recourant a droit à une indemnité de dépens, à la charge du canton de Genève, ce qui rend sans objet sa demande d'assistance judiciaire.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