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1B_113/2021 vom 25. Januar 2022</w:t>
      </w:r>
    </w:p>
    <w:p>
      <w:r>
        <w:t>Bundesgericht, 2022-01-25, DE</w:t>
      </w:r>
    </w:p>
    <w:p>
      <w:r>
        <w:rPr>
          <w:b/>
        </w:rPr>
        <w:t xml:space="preserve">Quelle: </w:t>
      </w:r>
      <w:r>
        <w:t>https://mcp.opencaselaw.ch/entscheid/bger_1B_113_2021</w:t>
      </w:r>
    </w:p>
    <w:p>
      <w:r>
        <w:t>FR: TF 1B_113/2021 du 25 janvier 2022</w:t>
      </w:r>
    </w:p>
    <w:p>
      <w:r>
        <w:t>IT: TF 1B_113/2021 del 25 gennaio 2022</w:t>
      </w:r>
    </w:p>
    <w:p>
      <w:pPr>
        <w:pStyle w:val="Heading2"/>
      </w:pPr>
      <w:r>
        <w:t>Erwägungen</w:t>
      </w:r>
    </w:p>
    <w:p>
      <w:r>
        <w:rPr>
          <w:b/>
        </w:rPr>
        <w:t>E. 1</w:t>
      </w:r>
    </w:p>
    <w:p>
      <w:r>
        <w:t>Die Ordnungsbusse wurde dem Beschwerdeführer in einem Strafverfahren gestützt auf Art. 64 StPO auferlegt. Gegen den angefochtenen Beschluss ist damit gemäss Art. 78 Abs. 1 BGG die Beschwerde in Strafsachen gegeben (Urteil 1B_321/2015 vom 8. Juni 2016, in: Pra 2016 Nr. 65 S. 623 ff., E. 1.1 mit Hinweis).</w:t>
      </w:r>
    </w:p>
    <w:p>
      <w:r>
        <w:t>Ein kantonales Rechtsmittel steht nicht zur Verfügung. Die Beschwerde ist somit nach Art. 80 BGG zulässig.</w:t>
      </w:r>
    </w:p>
    <w:p>
      <w:r>
        <w:t>Der Beschwerdeführer hat am Verfahren vor der Vorinstanz teilgenommen und ein rechtlich geschütztes Interesse an der Aufhebung des angefochtenen Beschlusses (Urteil 1B_321/2015 vom 8. Juni 2016, in: Pra 2016 Nr. 65 S. 623 ff., E. 1.3 mit Hinweisen). Er ist deshalb gemäss Art. 81 Abs. 1 BGG zur Beschwerde berechtigt.</w:t>
      </w:r>
    </w:p>
    <w:p>
      <w:r>
        <w:t>Ob der angefochtene Beschluss einen Endentscheid gemäss Art. 90 BGG oder einen Zwischenentscheid nach Art. 93 BGG darstellt, kann offen bleiben. Auf die Beschwerde wäre auch einzutreten, wenn es sich um einen Zwischenentscheid handelte. Das Verlassen des Gerichtssaals war nach Auffassung des Beschwerdeführers zur wirksamen Verteidigung des Angeklagten notwendig. Die Ordnungsbusse könnte den Beschwerdeführer davon abhalten, im weiteren Verlauf des Verfahrens das seiner Ansicht nach für die wirksame Verteidigung Erforderliche vorzukehren und damit die Interessen des Angeklagten vollumfänglich zu wahren. Die Möglichkeit eines nicht wieder gutzumachenden Nachteils im Sinne von Art. 93 Abs. 1 lit. a BGG ist daher nach der Rechtsprechung zu bejahen (Urteil 1B_321/2015 vom 8. Juni 2016, in: Pra 2016 Nr. 65 S. 623 ff., E. 1.4 mit Hinweis).</w:t>
      </w:r>
    </w:p>
    <w:p>
      <w:r>
        <w:t>Die weiteren Sachurteilsvoraussetzungen sind ebenfalls erfüllt und geben zu keinen Bemerkungen Anlass.</w:t>
      </w:r>
    </w:p>
    <w:p>
      <w:r>
        <w:rPr>
          <w:b/>
        </w:rPr>
        <w:t>E. 2</w:t>
      </w:r>
    </w:p>
    <w:p>
      <w:r>
        <w:t>Der Beschwerdeführer rügt, die Vorinstanz habe ihren Entscheid ungenügend begründet und damit seinen Anspruch auf rechtliches Gehör ( Art. 29 Abs. 2 BV , Art. 3 Abs. 2 lit. c StPO ) verletzt.</w:t>
      </w:r>
    </w:p>
    <w:p>
      <w:r>
        <w:t>Der Einwand ist unbehelflich. Die Vorinstanz hat ihren Entscheid einlässlich begründet. Nach der Rechtsprechung musste sie sich nicht mit jedem rechtlichen und tatsächlichen Vorbringen des Beschwerdeführers im Einzelnen auseinandersetzen. Wenn sie sich auf die für den Entscheid wesentlichen Gesichtspunkte beschränkt hat, ist das nicht zu beanstanden ( BGE 146 II 335 E. 5.1 mit Hinweisen). Eine Verletzung des rechtlichen Gehörs liegt nicht vor.</w:t>
      </w:r>
    </w:p>
    <w:p>
      <w:r>
        <w:rPr>
          <w:b/>
        </w:rPr>
        <w:t>E. 3.1</w:t>
      </w:r>
    </w:p>
    <w:p>
      <w:r>
        <w:t>Der Beschwerdeführer macht geltend, die Aussprechung der Ordnungsbusse verletze Art. 64 StPO .</w:t>
      </w:r>
    </w:p>
    <w:p>
      <w:r>
        <w:rPr>
          <w:b/>
        </w:rPr>
        <w:t>E. 3.2</w:t>
      </w:r>
    </w:p>
    <w:p>
      <w:r>
        <w:t>Gemäss Art. 64 Abs. 1 StPO kann die Verfahrensleitung Personen, die den Geschäftsgang stören, den Anstand verletzen oder verfahrensleitende Anordnungen missachten, mit Ordnungsbusse bis zu 1'000 Franken bestrafen.</w:t>
      </w:r>
    </w:p>
    <w:p>
      <w:r>
        <w:t>Die Verfahrensleitung kann auch einem Anwalt eine Ordnungsbusse auferlegen. Dessen Sanktionierung ist nicht der kantonalen Aufsichtsbehörde über die Anwältinnen und Anwälte vorbehalten (Urteil 1B_321/2015 vom 8. Juni 2016, in: Pra 2016 Nr. 65 S. 623 ff., E. 5 mit Hinweisen).</w:t>
      </w:r>
    </w:p>
    <w:p>
      <w:r>
        <w:rPr>
          <w:b/>
        </w:rPr>
        <w:t>E. 3.3</w:t>
      </w:r>
    </w:p>
    <w:p>
      <w:r>
        <w:t>Der Beschwerdeführer bringt vor, sein Verhalten sei durch einen "prozessualen Notstand" gerechtfertigt gewesen. Die Haftbedingungen des Angeklagten seien unmenschlich gewesen und dieser sei deshalb nur eingeschränkt in der Lage gewesen, sich zu verteidigen. Das Verlassen der Hauptverhandlung sei für den Beschwerdeführer die einzige Möglichkeit gewesen, diese Nachteile vom Angeklagten abzuwenden. Deshalb hätte ihm die Präsidentin des Amtsgerichts keine Ordnungsbusse auferlegen dürfen.</w:t>
      </w:r>
    </w:p>
    <w:p>
      <w:r>
        <w:rPr>
          <w:b/>
        </w:rPr>
        <w:t>E. 3.4</w:t>
      </w:r>
    </w:p>
    <w:p>
      <w:r>
        <w:t>Gemäss Art. 336 Abs. 2 StPO hat der amtliche Verteidiger an der Hauptverhandlung persönlich teilzunehmen.</w:t>
      </w:r>
    </w:p>
    <w:p>
      <w:r>
        <w:t>Nach der Rechtsprechung ist das Verlassen der Hauptverhandlung durch den Verteidiger gerechtfertigt, wenn dies das einzige Mittel darstellt, um durch die Unterbrechung des Prozesses einen dem Angeklagten drohenden nicht wieder gutzumachenden Nachteil zu verhindern ( BGE 106 Ia 100 E. 9b S. 111).</w:t>
      </w:r>
    </w:p>
    <w:p>
      <w:r>
        <w:rPr>
          <w:b/>
        </w:rPr>
        <w:t>E. 3.5</w:t>
      </w:r>
    </w:p>
    <w:p>
      <w:r>
        <w:t>Die Vorinstanz stützt ihren Entscheid auf eine Haupt- und eine Eventualbegründung. Sie kommt zum Schluss, von einer unmenschlichen oder erniedrigenden Behandlung des Angeklagten nach Art. 3 EMRK könne keine Rede sein. Das Verlassen der Hauptverhandlung durch den Beschwerdeführer sei daher von Vornherein ungeeignet gewesen, einen dem Angeklagten drohenden nicht wiedergutzumachenden Nachteil abzuwenden. Selbst wenn die Haftbedingungen Art. 3 EMRK verletzt hätten, hätte sich am Ergebnis nichts geändert, da das Amtsgericht für die Behandlung des Antrags, den Angeklagten umgehend in eine menschenrechtskonforme Zelle zu verlegen, nicht zuständig gewesen sei. Der Beschwerdeführer hätte diesen Antrag bei der zuständigen Behörde stellen können und müssen. Das Verlassen der Hauptverhandlung sei daher auch insoweit nicht die einzige Möglichkeit gewesen, einen dem Angeklagten drohenden nicht wieder gutzumachenden Nachteil abzuwenden.</w:t>
      </w:r>
    </w:p>
    <w:p>
      <w:r>
        <w:rPr>
          <w:b/>
        </w:rPr>
        <w:t>E. 3.6</w:t>
      </w:r>
    </w:p>
    <w:p>
      <w:r>
        <w:t>Gemäss Art. 10 Abs. 3 BV sind Folter und jede andere Art grausamer, unmenschlicher oder erniedrigender Behandlung oder Bestrafung verboten. Dasselbe ergibt sich aus Art. 3 EMRK .</w:t>
      </w:r>
    </w:p>
    <w:p>
      <w:r>
        <w:t>Damit eine Behandlung unter diese Bestimmungen fällt, muss sie ein Mindestmass an Schwere aufweisen. Bei der Beurteilung dieses Masses sind die gesamten Umstände zu berücksichtigen, bei Haft insbesondere deren Dauer, die Grösse der Zelle, die Zahl der sich darin befindenden Gefangenen, die Belüftung und Beheizung der Zelle, die darin herrschenden Lichtverhältnisse, die Möglichkeit und Dauer eines Spaziergangs, die hygienischen Verhältnisse und die Möglichkeit der Benützung einer Toilette unter Beachtung der Privatsphäre. Die mit jedem Freiheitsentzug unvermeidbar verbundenen Einschränkungen fallen nicht unter Art. 10 Abs. 3 BV bzw. Art. 3 EMRK ( BGE 140 I 125 E. 3.3 ff.; 246 E. 2.4.1 f.; je mit Hinweisen).</w:t>
      </w:r>
    </w:p>
    <w:p>
      <w:r>
        <w:rPr>
          <w:b/>
        </w:rPr>
        <w:t>E. 3.7</w:t>
      </w:r>
    </w:p>
    <w:p>
      <w:r>
        <w:t>Nach den Darlegungen der Vorinstanz wurde der Angeklagte in der Disziplinarzelle des Neubaus der JVA untergebracht, da keine ordentliche Zelle verfügbar war und die aufgrund der Corona-Krise zu beachtende Anstaltsquarantäne eine getrennte Unterbringung erforderte. Bei der Disziplinarzelle handelt es sich um einen ca. 5 m langen und 3 m breiten Raum. Die Zelle hat sechs Fenster. In einer Ecke befindet sich eine "Hocktoilette". Darüber ist ein Wasserhahn installiert. Über diesem befinden sich je ein Knopf für die im Boden integrierte WC-Spülung und die Öffnung des Wasserhahns, aus dem Trinkwasser fliesst. Die Zelle hat einen durch Scheiben abgetrennten Vorraum, der beidseits Türen aufweist. In der Zelle sind zwei Videokameras installiert. Sie enthält ein Bett sowie einen Hocker- und Tischwürfel. Auf die Intervention des Beschwerdeführers vom 4. Dezember 2020 hin wurden die Videokameras mit einer Folie abgeklebt und ein Fernsehgerät sowie eine Leselampe in der Zelle installiert. Bei Belegung der Zelle sind die in ihren Vorraum führenden Türen jeweils geschlossen. Die Videokameras wurden zusätzlich abgeschaltet. Für den Aufenthalt des Angeklagten wurde das Bett der Zelle mit Wäsche bezogen. Dreimal täglich wurden ihm Mahlzeiten in die Zelle gebracht. Dabei wurde ihm jedesmal bzw. nach Bedarf eine Flasche Trinkwasser zur Verfügung gestellt. Dem Angeklagten standen täglich Raum und Zeit für die Körperhygiene (Dusche und Toilette ausserhalb der Zelle), einen Spaziergang und den uneingeschränkten Austausch mit seinem Verteidiger (per Telefon oder im Besuchsraum ohne Trennscheibe) zur Verfügung.</w:t>
      </w:r>
    </w:p>
    <w:p>
      <w:r>
        <w:t>Bei diesen Darlegungen der Vorinstanz handelt es sich um Sachverhaltsfeststellungen. Dass diese nach Art. 97 Abs. 1 bzw. Art. 105 Abs. 2 BGG offensichtlich unrichtig, d.h. willkürlich seien, macht der Beschwerdeführer nicht geltend und ist nicht erkennbar. Sie sind für das Bundesgericht daher verbindlich ( Art. 105 Abs. 1 BGG ).</w:t>
      </w:r>
    </w:p>
    <w:p>
      <w:r>
        <w:rPr>
          <w:b/>
        </w:rPr>
        <w:t>E. 3.8</w:t>
      </w:r>
    </w:p>
    <w:p>
      <w:r>
        <w:t>Der Angeklagte befand sich demnach allein in einer ausreichend grossen Zelle. Sein Aufenthalt dort beschränkte sich auf die Dauer der Hauptverhandlung und damit auf eine vergleichsweise kurze Zeit. In die Zelle strömte Tageslicht. Er konnte dort lesen und fernsehen. Da die Videokameras mit einer Folie abgeklebt und überdies abgeschaltet sowie die Türen des Vorraums verriegelt waren, war seine Privatsphäre gewahrt. Zwar konnte er beobachtet werden, wenn Gefängnispersonal in den Vorraum eintrat. Damit, dass Gefängnispersonal eintritt und der Gefangene deshalb beobachtet werden kann, muss er jedoch in jeder Zelle rechnen. Insofern bestand im vorliegenden Fall keine weitergehende Beeinträchtigung. Die Hocktoilette mag unkomfortabel gewesen sein. Mangelnder Komfort begründet jedoch keine Verletzung von Art. 10 Abs. 3 BV bzw. Art. 3 EMRK ( BGE 140 I 125 E. 3.5 mit Hinweis). Der Angeklagte wurde sodann ausreichend verpflegt. Er konnte täglich spazieren und duschen sowie uneingeschränkt mit dem Beschwerdeführer kommunizieren. Eine ungenügende Beheizung der Zelle wird nicht geltend gemacht. Sofern der Wasserhahn in der Zelle nicht einwandfrei funktioniert haben und Wasser auf den Boden gespritzt sein sollte, hätte der Angeklagte einen Lappen verlangen können, um den Boden zu trocknen. Dass er das erfolglos getan habe, wird nicht vorgebracht.</w:t>
      </w:r>
    </w:p>
    <w:p>
      <w:r>
        <w:rPr>
          <w:b/>
        </w:rPr>
        <w:t>E. 3.9</w:t>
      </w:r>
    </w:p>
    <w:p>
      <w:r>
        <w:t>Würdigt man dies gesamthaft, ist es nicht zu beanstanden, wenn die Vorinstanz zum Schluss kommt, die Haftbedingungen seien nicht menschenrechtswidrig nach Art. 3 EMRK (bzw. verfassungswidrig nach Art. 10 Abs. 3 BV ) gewesen. Verhält es sich so, drohte dem Angeklagten, was die Haftbedingungen betrifft, kein nicht wieder gutzumachender Nachteil. Waren die Haftbedingungen verfassungs- und menschenrechtskonform, war auch seine Verteidigung nicht weiter eingeschränkt, als dies bei jeder Haft unvermeidbar ist. Da er mit dem Beschwerdeführer jederzeit ungehindert kommunizieren konnte, war die Verteidigung gewährleistet. Unter diesen Umständen hatte der Beschwerdeführer keinen begründeten Anlass zum Verlassen der Hauptverhandlung. Sein Verhalten war nicht geeignet, einen dem Angeklagten drohenden nicht wieder gutzumachenden Nachteil abzuwenden und somit durch keinen "prozessualen Notstand" gerechtfertigt.</w:t>
      </w:r>
    </w:p>
    <w:p>
      <w:r>
        <w:t>Die Hauptbegründung der Vorinstanz verletzt demnach kein Bundesrecht. Ob dies auch für die Eventualbegründung zutrifft, kann dahingestellt bleiben.</w:t>
      </w:r>
    </w:p>
    <w:p>
      <w:r>
        <w:rPr>
          <w:b/>
        </w:rPr>
        <w:t>E. 4</w:t>
      </w:r>
    </w:p>
    <w:p>
      <w:r>
        <w:t>Die Beschwerde ist deshalb abzuweisen.</w:t>
      </w:r>
    </w:p>
    <w:p>
      <w:r>
        <w:t>Bei diesem Ausgang des Verfahrens trägt der Beschwerdeführer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