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113/2010 vom 11. Mai 2010</w:t>
      </w:r>
    </w:p>
    <w:p>
      <w:r>
        <w:t>Bundesgericht, 2010-05-11, FR</w:t>
      </w:r>
    </w:p>
    <w:p>
      <w:r>
        <w:rPr>
          <w:b/>
        </w:rPr>
        <w:t xml:space="preserve">Quelle: </w:t>
      </w:r>
      <w:r>
        <w:t>https://mcp.opencaselaw.ch/entscheid/bger_1B_113_2010</w:t>
      </w:r>
    </w:p>
    <w:p>
      <w:r>
        <w:t>FR: TF 1B 113/2010 du 11 mai 2010</w:t>
      </w:r>
    </w:p>
    <w:p>
      <w:r>
        <w:t>IT: TF 1B 113/2010 del 11 maggio 2010</w:t>
      </w:r>
    </w:p>
    <w:p>
      <w:pPr>
        <w:pStyle w:val="Heading2"/>
      </w:pPr>
      <w:r>
        <w:t>Regeste</w:t>
      </w:r>
    </w:p>
    <w:p>
      <w:r>
        <w:t>refus de mise en liberté | Procédure pénale</w:t>
      </w:r>
    </w:p>
    <w:p>
      <w:pPr>
        <w:pStyle w:val="Heading2"/>
      </w:pPr>
      <w:r>
        <w:t>Erwägungen</w:t>
      </w:r>
    </w:p>
    <w:p>
      <w:r>
        <w:rPr>
          <w:b/>
        </w:rPr>
        <w:t>E. 1</w:t>
      </w:r>
    </w:p>
    <w:p>
      <w:r>
        <w:t>Le recours en matière pénale ( art. 78 al. 1 LTF ) est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34 du code de procédure pénale du canton de Genève du 29 septembre 1977 (CPP/GE; RSG E 4 20).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et de réitération (cf. art. 34 let. a à c CPP/GE). La gravité de l'infraction et l'importance de la peine encourue ne sont, à elles seules, pas suffisantes ( ATF 125 I 60 consid. 3a p. 62; 117 Ia 69 consid. 4a p. 70).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de l'arbitraire ( ATF 123 I 268 consid. 2d p. 271).</w:t>
      </w:r>
    </w:p>
    <w:p>
      <w:r>
        <w:rPr>
          <w:b/>
        </w:rPr>
        <w:t>E. 3</w:t>
      </w:r>
    </w:p>
    <w:p>
      <w:r>
        <w:t>Dans un grief qu'il convient d'examiner en premier lieu, le recourant invoque une violation de son droit d'être entendu en raison d'un défaut de motivation de l'arrêt attaqué.</w:t>
      </w:r>
    </w:p>
    <w:p>
      <w:r>
        <w:rPr>
          <w:b/>
        </w:rPr>
        <w:t>E. 3.1</w:t>
      </w:r>
    </w:p>
    <w:p>
      <w:r>
        <w:t>La jurisprudence a déduit du droit d'être entendu ( art. 29 al. 2 Cst. ) le devoir pour le juge de motiver sa décision, afin que le justiciable puisse le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3.2</w:t>
      </w:r>
    </w:p>
    <w:p>
      <w:r>
        <w:t>En l'espèce, le recourant soutient que la Chambre d'accusation n'aurait pas indiqué les motifs pour lesquels elle a considéré "qu'il apparaît douteux qu'il suive son traitement avec assiduité". Or, à la lecture de l'ordonnance attaquée, on comprend que l'instance cantonale a utilisé cet argument de façon accessoire pour retenir l'existence d'un risque de récidive, la motivation principale étant qu'il s'agissait en l'espèce d'infractions avec violence et que le risque à faire courir à des victimes potentielles était alors trop important. Quoique succincte, cette motivation satisfait aux exigences de l' art. 29 al. 2 Cst. Le recourant prétend à tort que l'instance précédente n'aurait pas non plus mentionné en quoi le montant de 60'000 francs ne constituait pas une garantie propre à assurer la présence de l'inculpé à l'audience de jugement. En effet, la Chambre d'accusation a précisé que l'inculpé ne possédait pas en Suisse d'attaches suffisantes qui le dissuaderaient de partir pour l'étranger et que, pour cette raison, un montant de 60'000 francs n'était pas de nature à garantir sa présence au jugement. La Cour cantonale a ensuite exposé de façon certes brève, mais satisfaisante au point de vue du droit d'être entendu, les motifs qui ont emporté sa conviction (cf. infra consid.4.2). D'ailleurs, la motivation de l'instance précédente n'a pas échappé au recourant, qui est précisément en mesure d'attaquer la décision sur ce point. Par conséquent, le grief de la violation du droit d'être entendu doit être rejeté.</w:t>
      </w:r>
    </w:p>
    <w:p>
      <w:r>
        <w:rPr>
          <w:b/>
        </w:rPr>
        <w:t>E. 4</w:t>
      </w:r>
    </w:p>
    <w:p>
      <w:r>
        <w:t>Sur le fond, le recourant, à juste titre, ne remet pas en cause la base légale de la détention, ni l'existence d'indices concrets de sa culpabilité. En revanche, il reproche à la Chambre d'accusation d'avoir fait preuve d'arbitraire ( art. 9 Cst. ) en retenant un risque de récidive et de fuite. Il reprend cette critique sous l'angle de la violation de la liberté personnelle ( art. 10 al. 2 Cst. et 5 CEDH). Ces moyens se confondent et doivent dès lors être examinés ensemble.</w:t>
      </w:r>
    </w:p>
    <w:p>
      <w:r>
        <w:rPr>
          <w:b/>
        </w:rPr>
        <w:t>E. 4.1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Selon l' art. 155 CPP /GE, la mise en liberté du prévenu peut être accordée moyennant des sûretés ou obligations. Cette disposition correspond à l'art. 5 § 3 dernière phrase CEDH, selon lequel le prévenu a le droit d'être libéré s'il lui est possible de fournir des sûretés propres à garantir sa présence aux débats et, le cas échéant, sa soumission au jugement, lorsque l'incarcération n'a plus d'autre justification que le danger de fuite.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de la confiance qu'on peut avoir que la perspective de perdre le montant agira comme un frein suffisamment puissant pour écarter toute velléité de fuite ( ATF 105 Ia 186 consid. 4a p. 187, citant l'arrêt de la Cour européenne des droits de l'homme Neumeister contre Autriche, du 27 juin 1968, série A, vol. 7, par. 14; cf. arrêt 1P.165/2006 du 19 avril 2006 consid. 3.2.1, in SJ 2006 I p. 395). Le détenu à titre préventif n'a pas un droit inconditionnel fondé sur l'art. 5 § 3 CEDH à être libéré moyennant le versement de sûretés lorsque seul le risque de fuite motive le maintien en détention; le juge de la détention peut aussi, en pareil cas, renoncer à ordonner une telle mesure lorsqu'il a la conviction qu'elle ne suffira pas à garantir la présence de l'inculpé aux débats et, le cas échéant, sa soumission au jugement (cf. Sylva Fisnar, Ersatzanordnungen für Untersuchungshaft und Sicherheitshaft in zürcherischen Strafprozess, thèse 1997, p. 75 et les références citées). Pour apprécier la force dissuasive d'un dépôt de sûretés sur les velléités de fuite de la personne concernée, le juge de la détention jouit d'un certain pouvoir d'appréciation, eu égard à sa maîtrise complète du dossier (arrêt 1B_126/2008 du 2 juin 2008 consid. 3.1).</w:t>
      </w:r>
    </w:p>
    <w:p>
      <w:r>
        <w:rPr>
          <w:b/>
        </w:rPr>
        <w:t>E. 4.2</w:t>
      </w:r>
    </w:p>
    <w:p>
      <w:r>
        <w:t>En l'espèce, il est vrai que le recourant peut se prévaloir de liens avec la Suisse: il réside dans ce pays depuis plus de vingt ans, il est au bénéfice d'un permis F, il est le père de quatre enfants dont les trois premiers vivent en Valais et le quatrième à Zurich. Cela étant, l'intéressé a également des liens avec l'étranger, puisqu'il est de nationalité somalienne. Les attaches du recourant avec la Suisse doivent en outre être mis en balance avec la gravité des actes reprochés et la peine privative de liberté importante qu'il encourt et qui pourrait l'inciter à faire certains sacrifices pour y échapper. La Chambre d'accusation a encore relevé le fait que la situation de l'inculpé en Suisse était loin d'être stable, qu'il ne semblait jamais avoir eu d'emploi de longue durée et avoir changé plusieurs fois de domicile. Elle a ajouté que la dernière compagne de l'intéressé, mère de son quatrième enfant, avait indiqué qu'elle ne le voyait pas régulièrement et qu'il arrivait que plusieurs semaines s'écoulent sans nouvelles. Il ressortait enfin de la déclaration d'une amie domiciliée à Genève que le recourant avait logé chez elle depuis le 11 novembre 2008 jusqu'à son arrestation. L'ensemble de ces éléments apparaît suffisant pour retenir un risque concret de fuite. L'arrêt attaqué ne prête pas le flanc à la critique sur ce point. Au demeurant, les indications données par le recourant sur l'origine de la somme de 60'000 francs, offerte comme sûretés, et sur la situation financière de sa soeur résidant à Dubaï - qui contracterait un prêt bancaire à cette fin - sont lacunaires et ne permettent pas d'admettre que la perspective de perdre cette somme d'argent agira comme un frein suffisamment puissant pour écarter toute velléité de fuite. Ainsi, compte tenu de l'ensemble de ces éléments, la Chambre d'accusation peut être suivie lorsqu'elle considère que le maintien en détention est justifié par un risque de fuite qui demeure concret, l'offre d'une caution de 60'000 francs n'étant manifestement pas propre à limiter ce risque de façon déterminante.</w:t>
      </w:r>
    </w:p>
    <w:p>
      <w:r>
        <w:rPr>
          <w:b/>
        </w:rPr>
        <w:t>E. 4.3</w:t>
      </w:r>
    </w:p>
    <w:p>
      <w:r>
        <w:t>Le maintien de la détention préventive du recourant étant justifié par des risques de fuite, il n'y a pas lieu d'examiner si cette mesure s'impose également en raison d'un risque de récidive, comme l'a retenu la Chambre d'accusation.</w:t>
      </w:r>
    </w:p>
    <w:p>
      <w:r>
        <w:rPr>
          <w:b/>
        </w:rPr>
        <w:t>E. 5</w:t>
      </w:r>
    </w:p>
    <w:p>
      <w:r>
        <w:t>Le recourant reproche enfin à la Chambre d'accusation d'avoir violé le principe de la présomption d'innocence.</w:t>
      </w:r>
    </w:p>
    <w:p>
      <w:r>
        <w:rPr>
          <w:b/>
        </w:rPr>
        <w:t>E. 5.1</w:t>
      </w:r>
    </w:p>
    <w:p>
      <w:r>
        <w:t>La présomption d'innocence, garantie aux art. 6 par. 2 CEDH et 32 al. 1 Cst., empêche le juge de la détention de désigner une personne comme coupable, sans réserve et sans nuance, en préjugeant de l'appréciation des faits par le juge du fond ( ATF 124 I 327 consid. 3c p. 331 s. et les références citées). Elle ne signifie en revanche pas qu'une détention préventive doive se fonder sur des faits clairement établis; des indices sont suffisants pour autant qu'ils reposent sur des faits concrets et précis (cf. art. 5 par. 1 let . c CEDH; ATF 107 Ia 138 consid. 4c p. 142; Velu/Ergec, La Convention européenne des droits de l'homme, 1990, n. 572 s., p. 477 s.; Frowein/Peukert, EMRK-Kommentar, 2ème éd., 1996, n. 170 s. p. 291 s.; Haefliger/Schürmann, Die Europäische Menschenrechtskonvention und die Schweiz, 2ème éd., 1999, p. 209 et les arrêts cités).</w:t>
      </w:r>
    </w:p>
    <w:p>
      <w:r>
        <w:rPr>
          <w:b/>
        </w:rPr>
        <w:t>E. 5.2</w:t>
      </w:r>
    </w:p>
    <w:p>
      <w:r>
        <w:t>Le recourant ne conteste pas l'existence d'indices suffisants pour justifier un maintien en détention préventive (cf. consid. 4). Il prétend que la Chambre d'accusation a violé le principe de la présomption d'innocence, en considérant que le risque de fuite était "patent au vu de la peine-menace qu'encourt l'inculpé, le Procureur général ayant retenu l'assassinat, soit l'infraction la plus grave selon le code pénal" et en retenant que "la vraisemblance du risque de [récidive] doit s'apprécier de façon large lorsqu'on est en présence, comme en l'espèce, d'infraction avec violence, le risque à faire courir à des victimes potentielles étant alors trop important". Ces considérations ne violent cependant pas le principe de la présomption d'innocence puisque la Chambre d'accusation n'a pas entendu s'exprimer de manière définitive sur la culpabilité du recourant, mais seulement sur l'existence d'indices suffisants propres à asseoir un maintien en détention préventive. Rien ne permet d'y voir une déclaration prématurée de culpabilité susceptible d'influer sur le juge du fond. Le grief tombe donc à faux.</w:t>
      </w:r>
    </w:p>
    <w:p>
      <w:r>
        <w:rPr>
          <w:b/>
        </w:rPr>
        <w:t>E. 6</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Yaël Hayat en qualité d'avocat d'office. Il y a lieu de faire droit à cette requête et de fixer d'office les honoraires de l'avocate,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