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1B_112/2015 vom 14. Juli 2015</w:t>
      </w:r>
    </w:p>
    <w:p>
      <w:r>
        <w:t>Bundesgericht, 2015-07-14, FR</w:t>
      </w:r>
    </w:p>
    <w:p>
      <w:r>
        <w:rPr>
          <w:b/>
        </w:rPr>
        <w:t xml:space="preserve">Quelle: </w:t>
      </w:r>
      <w:r>
        <w:t>https://mcp.opencaselaw.ch/entscheid/bger_1B_112_2015</w:t>
      </w:r>
    </w:p>
    <w:p>
      <w:r>
        <w:t>FR: TF 1B_112/2015 du 14 juillet 2015</w:t>
      </w:r>
    </w:p>
    <w:p>
      <w:r>
        <w:t>IT: TF 1B_112/2015 del 14 luglio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Le recours en matière pénale ( art. 78 al. 1 LTF ), déposé en temps utile (art. 46 al. 1 let. a et 100 al. 1 LTF), est ouvert contre une décision de séquestre, prise au cours de la procédure pénale, et confirmée en dernière instance cantonale ( art. 80 LTF ).</w:t>
      </w:r>
    </w:p>
    <w:p>
      <w:r>
        <w:rPr>
          <w:b/>
        </w:rPr>
        <w:t>E. 1.2</w:t>
      </w:r>
    </w:p>
    <w:p>
      <w:r>
        <w:t>Le séquestre pénal étant une décision à caractère incident, le recours n'est recevable que si l'acte attaqué est susceptible de causer un préjudice irréparable ( art. 93 al. 1 let. a LTF ; ATF 140 IV 57 consid. 2.3 p. 60 et les références citées). Tel est le cas lorsque le détenteur se trouve privé temporairement de la libre disposition des biens et/ou valeurs saisies ( ATF 126 I 97 consid. 1b p. 101; voir également ATF 133 IV 139 consid. 4 p. 141; 128 I 129 consid. 1 p. 131).</w:t>
      </w:r>
    </w:p>
    <w:p>
      <w:r>
        <w:t>Si la qualité de propriétaire des bien-fonds, ainsi que, pour la société recourante, du montant de la vente de l'un d'eux, ouvre la qualité pour recourir ( art. 81 al. 1 LTF ), il y a lieu de préciser que celle-ci ne peut concerner que les biens et immeubles appartenant aux recourants, à l'exclusion de celui propriété de la société W.________; il est d'ailleurs relevé que les conclusions prises par les intimés devant l'autorité précédente ne tendaient au maintien de la mesure de contrainte que sur "les objets séquestrés au préjudice du prévenu et de la société B.________ SA".</w:t>
      </w:r>
    </w:p>
    <w:p>
      <w:r>
        <w:rPr>
          <w:b/>
        </w:rPr>
        <w:t>E. 1.3</w:t>
      </w:r>
    </w:p>
    <w:p>
      <w:r>
        <w:t>La partie recourante ne peut se borner à demander l'annulation de la décision attaquée et le renvoi de la cause; elle doit en principe prendre des conclusions sur le fond du litige (art. 42 al. 2 et 107 al. 2 LTF; ATF 137 II 313 consid. 1.3 p. 317 et les références citées). Cependant, au vu du grief relatif à une possible violation du droit d'être entendu et des conclusions subsidiaires prises par les recourants, il y a lieu d'entrer en matière.</w:t>
      </w:r>
    </w:p>
    <w:p>
      <w:r>
        <w:rPr>
          <w:b/>
        </w:rPr>
        <w:t>E. 2</w:t>
      </w:r>
    </w:p>
    <w:p>
      <w:r>
        <w:t>Dans un premier grief d'ordre formel, les recourants se plaignent d'une violation de leur droit d'être entendus. Ils prétendent à cet égard ne pas avoir reçu une copie des écritures spontanées déposées par les intimés en date du 29 janvier 2015; les recourants affirment n'en avoir eu connaissance qu'à la lecture de l'arrêt entrepris. Ils soutiennent de plus que la cour cantonale aurait fondé son raisonnement en y faisant référence.</w:t>
      </w:r>
    </w:p>
    <w:p>
      <w:r>
        <w:rPr>
          <w:b/>
        </w:rPr>
        <w:t>E. 2.1</w:t>
      </w:r>
    </w:p>
    <w:p>
      <w:r>
        <w:t>En vertu de l' art. 29 al. 2 Cst. , le droit d'être entendu garantit notamment au justiciable le droit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139 I 189 consid. 3.2 p. 192 et les références citées).</w:t>
      </w:r>
    </w:p>
    <w:p>
      <w:r>
        <w:t>Le droit d'être entendu est un grief d'ordre formel, dont la violation entraîne l'annulation de la décision attaquée indépendamment des chances de succès du recours sur le fond ( ATF 137 I 195 consid. 2.2 p. 197; 135 I 279 consid. 2.6.1 p. 285 et les références citées). La jurisprudence admet toutefois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 ATF 137 I 195 consid. 2.3.2 p. 197 s. et les arrêts cités). Une telle réparation dépend de la gravité et de l'étendue de l'atteinte portée au droit d'être entendu et doit rester l'exception ( ATF 135 I 276 consid. 2.6.1 p. 285; 126 I 68 consid. 2 p. 72). Elle peut également se justifier en présence d'un vice grave lorsque le renvoi constituerait une vaine formalité et aboutirait à un allongement inutile de la procédure ( ATF 136 V 117 consid. 4.2.2.2 p. 126 s. et les arrêts cités).</w:t>
      </w:r>
    </w:p>
    <w:p>
      <w:r>
        <w:rPr>
          <w:b/>
        </w:rPr>
        <w:t>E. 2.2</w:t>
      </w:r>
    </w:p>
    <w:p>
      <w:r>
        <w:t>En l'occurrence, aucune pièce au dossier cantonal ne permet d'attester que les écritures spontanées des intimés du 29 janvier 2015 auraient été transmises aux recourants; tant la juridiction précédente que les intimés ne le prétendent d'ailleurs pas.</w:t>
      </w:r>
    </w:p>
    <w:p>
      <w:r>
        <w:t>Une possible référence par la cour cantonale à ces déterminations pour fonder son raisonnement n'est pas d'emblée évidente à la lecture du jugement attaqué; cela ne ressort pas non plus de manière manifeste du paragraphe cité par les recourants à titre d'exemple ("On ne peut [...] 10'000 d'euros convertis en francs suisses", p. 12 de l'arrêt entrepris). Cependant, ces observations sont mentionnées dans les faits du jugement attaqué et leur contenu tend à démontrer que le maintien des séquestres sur l'entier des biens des recourants serait conforme au principe de proportionnalité, en particulier au vu de l'ampleur du dommage subi par les plaignants, certes pas encore chiffré. Dès lors que la juridiction précédente a ordonné le maintien de l'ensemble des séquestres, tel que demandé par les intimés, il ne peut être exclu qu'elle ait tenu compte de ces écritures au moment de statuer.</w:t>
      </w:r>
    </w:p>
    <w:p>
      <w:r>
        <w:t>Partant, le grief de violation du droit d'être entendu doit être admis.</w:t>
      </w:r>
    </w:p>
    <w:p>
      <w:r>
        <w:rPr>
          <w:b/>
        </w:rPr>
        <w:t>E. 2.3</w:t>
      </w:r>
    </w:p>
    <w:p>
      <w:r>
        <w:t>Au regard de l'importance du principe de proportionnalité en matière de séquestre, la violation du droit d'être entendu qui a été constatée ne peut pas être considérée comme guérie au cours de l'instance fédérale, même si cette problématique a été soulevée par les recourants.</w:t>
      </w:r>
    </w:p>
    <w:p>
      <w:r>
        <w:t>Cela étant, en vertu du principe de la proportionnalité qui s'applique à tous les stades de la procédure, les probabilités d'une confiscation, respectivement du prononcé d'une créance compensatrice, doivent se renforcer au cours de l'instruction (arrêt 1B_416/2012 du 30 octobre 2012 consid. 2.2). L'étendue du séquestre doit également rester en rapport avec le produit de l'infraction poursuivie ( ATF 130 II 329 consid. 6). Il en résulte que, cas échéant, le Ministère public adapte les valeurs placées sous séquestre. Les plaignants sont certes légitimés à requérir la garantie de leurs prétentions au prononcé d'une créance compensatrice en leur faveur ( art. 73 al. 1 let . c CP). En revanche, il ne leur appartient pas de défendre les intérêts de l'Etat au prononcé d'une créance d'un montant supérieur à celui de leur préjudice, ce rôle étant dévolu au Ministère public ( ATF 140 IV 57 consid. 2.4 p. 61 et 4.2 p. 64 ss).</w:t>
      </w:r>
    </w:p>
    <w:p>
      <w:r>
        <w:rPr>
          <w:b/>
        </w:rPr>
        <w:t>E. 3</w:t>
      </w:r>
    </w:p>
    <w:p>
      <w:r>
        <w:t>Il s'ensuit que le recours est admis. L'arrêt du 2 février 2015 est annulé et la cause est renvoyée à l'autorité précédente afin qu'elle octroie aux recourants la possibilité de présenter des observations à la suite des écritures du 29 janvier 2015 avant de statuer à nouveau.</w:t>
      </w:r>
    </w:p>
    <w:p>
      <w:r>
        <w:t>Les recourants, qui obtiennent gain de cause avec l'assistance d'un avocat, ont droit à l'octroi de dépens à la charge du canton de Vaud ( art. 68 al. 1 LTF ). Les intimés s'en sont remis à justice s'agissant du grief de violation du droit d'être entendu, il ne leur est dès lors pas alloué de dépens.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