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111/2012 vom 5. April 2012</w:t>
      </w:r>
    </w:p>
    <w:p>
      <w:r>
        <w:t>Bundesgericht, 2012-04-05, FR</w:t>
      </w:r>
    </w:p>
    <w:p>
      <w:r>
        <w:rPr>
          <w:b/>
        </w:rPr>
        <w:t xml:space="preserve">Quelle: </w:t>
      </w:r>
      <w:r>
        <w:t>https://mcp.opencaselaw.ch/entscheid/bger_1B_111_2012</w:t>
      </w:r>
    </w:p>
    <w:p>
      <w:r>
        <w:t>FR: TF 1B 111/2012 du 5 avril 2012</w:t>
      </w:r>
    </w:p>
    <w:p>
      <w:r>
        <w:t>IT: TF 1B 111/2012 del 5 aprile 2012</w:t>
      </w:r>
    </w:p>
    <w:p>
      <w:pPr>
        <w:pStyle w:val="Heading2"/>
      </w:pPr>
      <w:r>
        <w:t>Regeste</w:t>
      </w:r>
    </w:p>
    <w:p>
      <w:r>
        <w:t>procédure pénale; ordonnance de non-entrée en matière | Procédure pénale</w:t>
      </w:r>
    </w:p>
    <w:p>
      <w:pPr>
        <w:pStyle w:val="Heading2"/>
      </w:pPr>
      <w:r>
        <w:t>Erwägungen</w:t>
      </w:r>
    </w:p>
    <w:p>
      <w:r>
        <w:rPr>
          <w:b/>
        </w:rPr>
        <w:t>E. 1</w:t>
      </w:r>
    </w:p>
    <w:p>
      <w:r>
        <w:t>La décision attaquée a été rendue en matière pénale au sens de l' art. 78 LTF . Elle a un caractère final ( art. 90 LTF ) et émane de l'autorité cantonale de dernière instance ( art. 80 LTF ). Les recourants ont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soit en particulier les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contre l'intimé ( ATF 137 IV 219 consid. 2.4 p. 222).</w:t>
      </w:r>
    </w:p>
    <w:p>
      <w:r>
        <w:rPr>
          <w:b/>
        </w:rPr>
        <w:t>E. 1.2</w:t>
      </w:r>
    </w:p>
    <w:p>
      <w:r>
        <w:t>En l'espèce, les recourants expliquent avoir des prétentions contre l'intimé, pour plus de 1,8 million de francs représentant les montants investis en or. Les recourants n'élèvent en revanche aucune prétention civile en rapport avec l'infraction d'extorsion, demeurée à l'état de tentative. La question de la recevabilité du recours sur ce point peut toutefois demeurer indécise, compte tenu des considérants qui suivent.</w:t>
      </w:r>
    </w:p>
    <w:p>
      <w:r>
        <w:rPr>
          <w:b/>
        </w:rPr>
        <w:t>E. 2</w:t>
      </w:r>
    </w:p>
    <w:p>
      <w:r>
        <w:t>Invoquant leur droit d'être entendus et l' art. 101 al. 1 CPP , les recourants reprochent au Ministère public de leur avoir refusé l'accès au dossier alors qu'il l'avait accordé à C.________, considéré comme prévenu. Dans un autre grief, les recourants estiment que l'audition de la personne mise en cause, à titre de prévenu, constituait un acte d'enquête et empêchait le prononcé d'une ordonnance de non-entrée en matière.</w:t>
      </w:r>
    </w:p>
    <w:p>
      <w:r>
        <w:rPr>
          <w:b/>
        </w:rPr>
        <w:t>E. 2.1</w:t>
      </w:r>
    </w:p>
    <w:p>
      <w:r>
        <w:t>Une ordonnance de non-entrée en matière, au sens de l' art. 310 CPP ,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Le ministère public ne peut donc pas rendre une telle ordonnance après avoir ouvert une instruction au sens de l' art. 309 CPP (CORNU, Commentaire romand CPP, n° 2 ad art. 310). En l'espèce, le Ministère public a reçu la plainte des recourants le 6 décembre 2010. Selon la note apposée au verso de cette plainte, une enquête préliminaire a été ouverte le 17 décembre suivant et le dossier a été transmis à la police. Celle-ci a entendu C.________ le 31 janvier 2011, en qualité de personne appelée à donner des renseignements. Un rapport a été établi le même jour à l'attention du Ministère public. Des pièces ont été réclamées aux mis en cause par le Ministère public, le 26 avril 2011. L'avocat des recourants a été informé, le 22 mars 2011, que la procédure avait fait l'objet d'une enquête préliminaire. Par la suite, les personnes mises en cause ont demandé l'accès au dossier. Le Ministère public a accordé le 19 mai 2011 un accès partiel, limité aux pièces et déclarations des intéressés. Il est vrai que cette ordonnance désigne C.________ et X.________ comme prévenus. Il s'agit toutefois manifestement d'une erreur de désignation car la même ordonnance précise qu'aucune audience au sens de l' art. 101 al. 1 CPP n'avait encore eu lieu. Le 15 juin 2011, le Ministère public a rejeté une demande d'accès au dossier présentée par les recourants, en relevant à nouveau qu'aucune audience n'avait eu lieu devant lui.</w:t>
      </w:r>
    </w:p>
    <w:p>
      <w:r>
        <w:rPr>
          <w:b/>
        </w:rPr>
        <w:t>E. 2.2</w:t>
      </w:r>
    </w:p>
    <w:p>
      <w:r>
        <w:t>Force est dès lors de constater qu'en dépit des objections des recourants, aucune décision formelle d'ouverture d'une instruction n'a été prise par le Ministère public avec la mention des prévenus et des infractions qui leur sont imputées, comme l'exige l' art. 309 al. 3 CPP . Quand bien même il s'est écoulé près d'une année entre le dépôt de la plainte et l'ordonnance de non-entrée en matière, la procédure n'a pas dépassé le stade de l'investigation policière, ce qui permettait au Ministère public de rendre une ordonnance de non-entrée en matière. Le grief doit être écarté.</w:t>
      </w:r>
    </w:p>
    <w:p>
      <w:r>
        <w:rPr>
          <w:b/>
        </w:rPr>
        <w:t>E. 2.3</w:t>
      </w:r>
    </w:p>
    <w:p>
      <w:r>
        <w:t>Les recourants invoquent en vain leur droit d'être entendus, dès lors que l'accès au dossier n'a pas à être accordé avant la première audition du prévenu. Les mis en cause ont certes obtenu un droit d'accès, mais limité à leurs propres déclarations et aux pièces qu'ils avaient eux-mêmes déposées, et ce afin de fournir les pièces complémentaires exigées par le Ministère public. Il n'y a par conséquent aucune violation de l' art. 101 CPP . Les recourants ont par ailleurs pu exercer leur droit d'être entendus à tout le moins dans la procédure de recours puisqu'il ressort du dossier qu'ils ont obtenu une copie de l'intégralité du dossier après le prononcé de l'ordonnance du Ministère public. Les griefs d'ordre formel doivent par conséquent être rejetés.</w:t>
      </w:r>
    </w:p>
    <w:p>
      <w:r>
        <w:rPr>
          <w:b/>
        </w:rPr>
        <w:t>E. 3</w:t>
      </w:r>
    </w:p>
    <w:p>
      <w:r>
        <w:t>Sur le fond, les recourants se plaignent d'arbitraire dans l'établissement des faits et estiment que les conditions d'une non-entrée en matière n'étaient pas réunies. Ils reprochent à la cour cantonale d'avoir limité son examen, concernant l'existence d'un dommage sérieux, à la sommation judiciaire, alors que le mémoire réponse des mis en cause devant le tribunal civil contenait de fausses indications quant à l'existence d'un prêt. La cour cantonale aurait tenu compte de simples documents internes pour retenir arbitrairement que seul D.________ était responsable du préjudice subi. Les recourants estiment qu'une ordonnance de non-entrée en matière ne serait possible que lorsque toute infraction peut d'emblée être exclue. La cour cantonale ne pouvait dès lors se livrer, comme elle l'a fait, à un examen de fond. Les recourants soutiennent ensuite que les éléments constitutifs des infractions d'extorsion et de gestion déloyale seraient réunis.</w:t>
      </w:r>
    </w:p>
    <w:p>
      <w:r>
        <w:rPr>
          <w:b/>
        </w:rPr>
        <w:t>E. 3.1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ce qui est notamment le cas lorsque le litige est d'ordre purement civil ( ATF 137 IV 285 consid. 2.3 p. 287 et les références citées). Il doit tenir compte de l'ensemble des circonstances du cas d'espèce et des intérêts variables qui peuvent se trouver en présence et dispose dans ce cadre d'un large pouvoir d'appréciation (arrêt 1B_687/2011 du 27 mars 2012 destiné à la publication, consid. 4).</w:t>
      </w:r>
    </w:p>
    <w:p>
      <w:r>
        <w:rPr>
          <w:b/>
        </w:rPr>
        <w:t>E. 3.2</w:t>
      </w:r>
    </w:p>
    <w:p>
      <w:r>
        <w:t>La cour cantonale a considéré qu'à l'instar d'un commandement de payer, une tentative de recouvrement par voie de sommation judiciaire ne constituait pas une menace grave constitutive d'extorsion ou de contrainte, car l'intéressé pouvait faire constater l'inexistence de la dette devant un tribunal. Les recourants relèvent que les mis en cause auraient tout fait pour obtenir le montant réclamé, y compris en alléguant des faits inexacts devant le juge. Cela n'enlève toutefois rien à la pertinence du raisonnement de la cour cantonale et au fait qu'il a suffit aux recourants de faire constater en justice l'inexistence de la dette, de sorte que la menace évoquée était manifestement insuffisante pour les pousser à des actes préjudiciables à leurs intérêts.</w:t>
      </w:r>
    </w:p>
    <w:p>
      <w:r>
        <w:rPr>
          <w:b/>
        </w:rPr>
        <w:t>E. 3.3</w:t>
      </w:r>
    </w:p>
    <w:p>
      <w:r>
        <w:t>S'agissant de l'infraction de gestion déloyale, les recourants se contentent de relever que l'argent investi aurait été versé sur un compte ouvert par X.________. Cela ne suffit toutefois pas pour démontrer l'existence d'un devoir de gestion. En effet, selon un protocole d'accord signé par les parties, D.________ reconnaissait être à l'origine d'un préjudice de plus de 1,5 million d'euros et s'engageait à rembourser cette somme. Les recourants ne contestent ni l'authenticité de ce document, ni l'interprétation qu'en a fait la cour cantonale.</w:t>
      </w:r>
    </w:p>
    <w:p>
      <w:r>
        <w:rPr>
          <w:b/>
        </w:rPr>
        <w:t>E. 4</w:t>
      </w:r>
    </w:p>
    <w:p>
      <w:r>
        <w:t>Il ressort dès lors suffisamment clairement des déclarations et des pièces produites que les éléments constitutifs d'une infraction ne sont pas réunis et que le litige est en définitive de nature purement civile. L'ordonnance de non-entrée en matière n'est dès lors pas critiquable. Le recours doit par conséquent être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