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1B_109/2018 vom 19. April 2018</w:t>
      </w:r>
    </w:p>
    <w:p>
      <w:r>
        <w:t>Bundesgericht, 2018-04-19, FR</w:t>
      </w:r>
    </w:p>
    <w:p>
      <w:r>
        <w:rPr>
          <w:b/>
        </w:rPr>
        <w:t xml:space="preserve">Quelle: </w:t>
      </w:r>
      <w:r>
        <w:t>https://mcp.opencaselaw.ch/entscheid/bger_1B_109_2018</w:t>
      </w:r>
    </w:p>
    <w:p>
      <w:r>
        <w:t>FR: TF 1B_109/2018 du 19 avril 2018</w:t>
      </w:r>
    </w:p>
    <w:p>
      <w:r>
        <w:t>IT: TF 1B_109/2018 del 19 aprile 2018</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L'arrêt attaqué est rendu en dernière instance cantonale, au sens de l' art. 80 LTF . Le recours a été déposé dans le délai de trente jours prescrit à l' art. 100 al. 1 LTF et la conclusion tendant à l'annulation de l'arrêt attaqué et à l'admission de la demande de récusation est recevable au regard de l' art. 107 LTF .</w:t>
      </w:r>
    </w:p>
    <w:p>
      <w:r>
        <w:t>Les conclusions du recours tendant à l'invalidation de l'ordonnance pénale, au classement de la procédure et subsidiairement à sa suspension sont en revanche irrecevables, faute de se rapporter à l'objet du litige limité à la question de la récusation. Par ailleurs, l'ordonnance pénale et l'ordonnance de classement du 14 février 2018 sont des pièces nouvelles dont il ne peut être fait état dans la présente procédure ( art. 99 LTF ).</w:t>
      </w:r>
    </w:p>
    <w:p>
      <w:r>
        <w:rPr>
          <w:b/>
        </w:rPr>
        <w:t>E. 2</w:t>
      </w:r>
    </w:p>
    <w:p>
      <w:r>
        <w:t>Le Tribunal fédéral statue en principe sur la base des faits établis par l'autorité précédente (cf. art. 105 al. 1 LTF ). Dès lors, les faits présentés par le recourant qui s'écartent de ceux retenus par le Tribunal cantonal, sans qu'il n'invoque, ni ne démontre leur établissement arbitraire, sont irrecevables (cf. art. 97 al. 1 LTF ; ATF 140 III 264 consid. 2.3 p. 266).</w:t>
      </w:r>
    </w:p>
    <w:p>
      <w:r>
        <w:rPr>
          <w:b/>
        </w:rPr>
        <w:t>E. 3</w:t>
      </w:r>
    </w:p>
    <w:p>
      <w:r>
        <w:t>Dans un grief d'ordre formel, le recourant estime que l'autorité cantonale aurait violé son droit d'être entendu ( art. 29 al. 2 Cst. ) en refusant de lui accorder un délai raisonnable pour s'exprimer sur les déterminations du Procureur.</w:t>
      </w:r>
    </w:p>
    <w:p>
      <w:r>
        <w:rPr>
          <w:b/>
        </w:rPr>
        <w:t>E. 3.1</w:t>
      </w:r>
    </w:p>
    <w:p>
      <w:r>
        <w:t>Selon l' art. 58 al. 2 CPP , la personne concernée par une demande de récusation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 ATF 138 IV 222 consid. 2.1 p. 224).</w:t>
      </w:r>
    </w:p>
    <w:p>
      <w:r>
        <w:rPr>
          <w:b/>
        </w:rPr>
        <w:t>E. 3.2</w:t>
      </w:r>
    </w:p>
    <w:p>
      <w:r>
        <w:t>En l'occurrence, le recourant a, par courrier du 19 janvier 2018, demandé à l'autorité cantonale un délai raisonnable pour se déterminer sur la prise de position du Procureur du 16 janvier 2018. A cette même occasion, il a néanmoins produit une détermination spontanée de trois pages. L'autorité cantonale a estimé que celle-ci était solidement étayée, de sorte qu'elle en a déduit que le recourant avait pu utilement se déterminer, en dépit du manque de temps dont il tirait argument.</w:t>
      </w:r>
    </w:p>
    <w:p>
      <w:r>
        <w:t>Il est vrai que le délai dans lequel le recourant s'est prononcé sur la prise de position de l'intimé est court. Néanmoins celle-ci est brève et concise et il ressort de l'écriture spontanée du recourant qu'il a pu se déterminer sur tous les éléments avancés par le Procureur. Dès lors, la cour cantonale n'a pas violé son droit d'être entendu en refusant de lui accorder un délai supplémentaire pour se prononcer à ce sujet. Ce grief d'ordre formel doit donc être rejeté.</w:t>
      </w:r>
    </w:p>
    <w:p>
      <w:r>
        <w:rPr>
          <w:b/>
        </w:rPr>
        <w:t>E. 4</w:t>
      </w:r>
    </w:p>
    <w:p>
      <w:r>
        <w:t>Invoquant les dispositions relatives à la récusation ( art. 56 let . f CPP, art. 30 al. 1 Cst. et art. 6 par. 1 CEDH ), le recourant voit un motif de prévention au sens de l' art. 56 let . f CPP dans les prises de position du Procureur dans le cadre de la procédure pénale. Il soutient également que celui-ci aurait violé ses droits fondamentaux et certaines garanties procédurales.</w:t>
      </w:r>
    </w:p>
    <w:p>
      <w:r>
        <w:rPr>
          <w:b/>
        </w:rPr>
        <w:t>E. 4.1</w:t>
      </w:r>
    </w:p>
    <w:p>
      <w:r>
        <w:t>Un magistrat est récusable pour l'un des motifs prévus à l'art.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143 IV 69 consid. 3.2 p. 74).</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prendre des décisions quant à la suite de la procédure (classement ou mise en accusation), voire rendre une ordonnance pénale pour laquelle il assume une fonction juridictionnelle. Dans cette première phase,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141 IV 178 consid. 3.2.3 p. 180; 138 IV 142 consid. 2.3 p. 146).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1B_409/2016 du 3 janvier 2017 consid. 3.2, non publié in ATF 143 IV 69 ).</w:t>
      </w:r>
    </w:p>
    <w:p>
      <w:r>
        <w:rPr>
          <w:b/>
        </w:rPr>
        <w:t>E. 4.2</w:t>
      </w:r>
    </w:p>
    <w:p>
      <w:r>
        <w:t>En l'occurrence, l'ensemble des éléments invoqués par le recourant ne permet pas de conclure à une apparence de prévention de l'intimé envers lui, qui justifierait sa récusation. Les craintes du recourant ne reposent pas sur des circonstances objectives, mais sur des impressions purement subjectives. En effet, il ne ressort des pièces du dossier aucun indice qui présagerait que le Procureur aurait adopté une attitude déplacée ou partiale durant l'instruction. Comme relevé par l'instance précédente, les termes " pour les moins inquiétantes " utilisés par le magistrat pour qualifier les déclarations faites par le recourant lors de l'audience ne constituent pas un motif de prévention. En particulier, on ne saurait y voir une appréciation prématurée quant à la culpabilité du recourant. Quoi qu'en pense le recourant, il ne ressort pas du procès-verbal d'audition que le Procureur aurait usé de la contrainte ou obtenu des informations ou des déclarations de façon illégale. Le recourant soutient que la faute de frappe commise dans l'écriture de son prénom, ainsi que le fait d'avoir sciemment omis d'indiquer "monsieur" devant son nom constitueraient des indices de prévention. Ce raisonnement ne saurait être suivi, dès lors qu'il s'agit vraisemblablement d'une erreur dactylographique, respectivement d'une omission involontaire, comme l'a à juste titre retenu la cour cantonale. A tout le moins, ces seuls faits, isolés et sans aucune gravité, ne sauraient être considérés comme des indices suffisants pour admettre la requête de récusation (cf. ATF 143 IV 69 consid. 3.2 p. 74 s.; 141 IV 178 consid. 3.2.3 p. 180).</w:t>
      </w:r>
    </w:p>
    <w:p>
      <w:r>
        <w:t>La question de la suspension de la procédure selon l' art. 55a CP a été traitée correctement par le Procureur qui n'a donné aucune assurance à ce sujet. Comme l'a justement retenu l'instance précédente, celui-ci pouvait parfaitement informer ultérieurement les parties de son intention de poursuivre l'action pénale, la suspension étant une simple faculté qui lui est offerte et non une obligation (cf. DUPUIS ET AL., Petit Commentaire - Code pénal, 2012, no 10 ss ad art. 55a CP ). Enfin, le Procureur s'est comporté comme n'importe quel magistrat qui entend poursuivre l'action pénale et mettre un prévenu en accusation. En effet, le rôle du procureur durant l'instruction l'amène nécessairement à prendre position sur l'état du dossier, en particulier sur les charges retenues, et donc aussi au détriment du prévenu. Dès lors, tant qu'il le fait dans les règles de la procédure, comme tel semble être le cas à la lecture du dossier, il n'y a pas matière à récusation. Sous cet angle, on ne peut pas non plus lui reprocher de mener la procédure pénale rapidement (cf. art. 5 CPP ).</w:t>
      </w:r>
    </w:p>
    <w:p>
      <w:r>
        <w:t>Le recourant soutient enfin que le Procureur aurait perdu son impartialité ensuite de la plainte pénale qu'il a déposée contre lui pour diffamation et contrainte. Ce fait n'a pas, d'un point de vue objectif, pour effet de faire naître une apparence de prévention du magistrat en cause; en décider autrement reviendrait à ouvrir à chaque prévenu la possibilité d'influencer la composition des autorités en déposant des plaintes vis-à-vis du magistrat dont ils récusent la participation ( ATF 134 I 20 consid. 4.3.2 p. 22).</w:t>
      </w:r>
    </w:p>
    <w:p>
      <w:r>
        <w:t>Enfin, le grief d'abus de droit et d'arbitraire ( art. 9 Cst. ) a trait au contenu de l'ordonnance pénale. Il est à ce titre irrecevable (cf. consid. 1). Ce moyen de droit et les autres griefs invoqués par le recourant doivent donc être soulevés dans le cadre d'une opposition à l'ordonnance pénale ou à celle de classement.</w:t>
      </w:r>
    </w:p>
    <w:p>
      <w:r>
        <w:rPr>
          <w:b/>
        </w:rPr>
        <w:t>E. 5</w:t>
      </w:r>
    </w:p>
    <w:p>
      <w:r>
        <w:t>Il s'ensuit que le recours est rejeté, dans la mesure de sa recevabilité.</w:t>
      </w:r>
    </w:p>
    <w:p>
      <w:r>
        <w:t>Le recourant, qui succombe, supporte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