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1B_109/2015 vom 3. Juni 2015</w:t>
      </w:r>
    </w:p>
    <w:p>
      <w:r>
        <w:t>Bundesgericht, 2015-06-03, FR</w:t>
      </w:r>
    </w:p>
    <w:p>
      <w:r>
        <w:rPr>
          <w:b/>
        </w:rPr>
        <w:t xml:space="preserve">Quelle: </w:t>
      </w:r>
      <w:r>
        <w:t>https://mcp.opencaselaw.ch/entscheid/bger_1B_109_2015</w:t>
      </w:r>
    </w:p>
    <w:p>
      <w:r>
        <w:t>FR: TF 1B_109/2015 du 3 juin 2015</w:t>
      </w:r>
    </w:p>
    <w:p>
      <w:r>
        <w:t>IT: TF 1B_109/2015 del 3 giugno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dans une cause pénale par une juridiction cantonale statuant en dernière instance ( art. 80 al. 1 LTF ). Le recours en matière pénale au sens de l' art. 78 al. 1 LTF est donc en principe ouvert. Le recours a été formé en temps utile ( art. 100 al. 1 LTF ) et les conclusions présentées au fond sont en soi recevables ( art. 107 al. 2 LTF ).</w:t>
      </w:r>
    </w:p>
    <w:p>
      <w:r>
        <w:rPr>
          <w:b/>
        </w:rPr>
        <w:t>E. 1.2</w:t>
      </w:r>
    </w:p>
    <w:p>
      <w:r>
        <w:t>La décision par laquelle le Ministère public rejette une réquisition d'actes d'instruction formulée par les recourants constitue une décision incidente. Il en va de même de l'arrêt attaqué qui en partage la nature (cf. arrêts 1B_189/2012 du 17 août 2012). Le recours en matière pénale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 En vertu de l' art. 42 al. 1 LTF , il incombe aux recourants d'alléguer les faits qu'ils considèrent comme propres à fonder sa qualité pour recourir ( ATF 141 IV 1 consid. 1.1; 138 IV 86 consid. 3 p. 88 et les arrêts cités) et ceux permettant de démontrer l'existence d'un préjudice irréparable lorsque celui-ci n'est pas d'emblée évident ( ATF 138 III 46 consid. 1.2 p. 47 et les arrêts cités).</w:t>
      </w:r>
    </w:p>
    <w:p>
      <w:r>
        <w:rPr>
          <w:b/>
        </w:rPr>
        <w:t>E. 1.3</w:t>
      </w:r>
    </w:p>
    <w:p>
      <w:r>
        <w:t>Les recourants relèvent que les mesures requises doivent être propres à retrouver les documents et objets (notamment un tableau de Picasso) qui auraient été emportés par la prévenue avec l'aide de sa secrétaire et de l'employée du couple. Les documents pourraient permettre de démontrer que le défunt était propriétaire notamment des oeuvres d'art. Il y aurait un risque que la prévenue ne déplace ou détruise les documents susceptibles de servir de moyens de preuve, ce d'autant qu'elle serait inévitablement avertie de la mesure si celle-ci était requise devant le juge du fond.</w:t>
      </w:r>
    </w:p>
    <w:p>
      <w:r>
        <w:t>Comme le relève la cour cantonale, la question qui doit être résolue préalablement est celle du droit de propriété sur les objets emportés, question qui fait apparemment l'objet d'une procédure civile. Le Ministère public a privilégié, s'agissant des dossiers, une perquisition au domicile de la secrétaire de la prévenue, à Menton, car il disposait d'indices concrets sur ce point. Il est dès lors possible, en fonction du résultat de ces investigations, que de nouvelles perquisitions soient ensuite ordonnées au cours de l'instruction. Il n'est dès lors pas établi que le refus du Ministère public soit définitif, ni que les recourants soient exposés à un préjudice irréparable. La question peut néanmoins demeurer indécise, car le recours doit de toute manière être rejeté sur le fond.</w:t>
      </w:r>
    </w:p>
    <w:p>
      <w:r>
        <w:rPr>
          <w:b/>
        </w:rPr>
        <w:t>E. 1.4</w:t>
      </w:r>
    </w:p>
    <w:p>
      <w:r>
        <w:t>Selon l' art. 99 al. 1 LTF , les faits nouveaux ou les preuves nouvelles sont irrecevables. Dès lors, il n'y a pas lieu de tenir compte des pièces produites par le Ministère public, dans la mesure où elles ne figuraient pas au dossier lors du prononcé attaqué.</w:t>
      </w:r>
    </w:p>
    <w:p>
      <w:r>
        <w:rPr>
          <w:b/>
        </w:rPr>
        <w:t>E. 2</w:t>
      </w:r>
    </w:p>
    <w:p>
      <w:r>
        <w:t>Les recourants se plaignent d'une violation des dispositions du droit fédéral relatives aux perquisitions et au séquestre ( art. 197, 244 et 263 CPP , art. 70 et 73 CP ), ainsi que d'une constatation et une appréciation arbitraires des faits. Les séquestres requis n'étaient pas seulement probatoires, mais aussi conservatoires puisqu'ils devraient permettre une éventuelle restitution aux lésés. Les témoignages recueillis lors de l'instruction mettraient en évidence que des objets ont été emportés par la prévenue et l'employée du couple et pourraient donc être conservés par celles-ci. Les perquisitions devraient être ordonnées sans attendre que soit tranchée la question du droit de propriété et simultanément aux autres actes d'instruction, dès lors que le risque de disparition de preuves augmenterait avec le temps.</w:t>
      </w:r>
    </w:p>
    <w:p>
      <w:r>
        <w:rPr>
          <w:b/>
        </w:rPr>
        <w:t>E. 2.1</w:t>
      </w:r>
    </w:p>
    <w:p>
      <w:r>
        <w:t>Une mesure de perquisition et de séquestre, qui restreint notamment le droit de propriété, n'est compatible avec la Constitution que si elle repose sur une base légale, est justifiée par un intérêt public suffisant et respecte le principe de la proportionnalité ( art. 26 al. 1 Cst. en relation avec l'art. 36 al. 1 à 3 Cst.; cf. ATF 126 I 219 consid. 2a p. 221, 2c p. 221/222).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118 Ia 394 consid. 2b p. 397 et les arrêts cités).</w:t>
      </w:r>
    </w:p>
    <w:p>
      <w:r>
        <w:t>Le séquestre pénal est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 Elle est proportionnée lorsqu'elle porte sur des avoirs dont on peut admettre en particulier qu'ils pourront être vraisemblablement confisqués ou restitués en application du droit pénal. Tant que l'instruction n'est pas achevée, une simple probabilité suffit car, à l'instar de toute mesure provisionnelle, la saisie se rapporte à des prétentions encore incertaines.</w:t>
      </w:r>
    </w:p>
    <w:p>
      <w:r>
        <w:rPr>
          <w:b/>
        </w:rPr>
        <w:t>E. 2.2</w:t>
      </w:r>
    </w:p>
    <w:p>
      <w:r>
        <w:t>Comme le relève la cour cantonale, les soupçons, jugés suffisants pour justifier une perquisition dans les locaux de la secrétaire de la prévenue, le sont a priori également pour agir en d'autres lieux. Toutefois alors que des témoignages viennent accréditer la thèse de la présence d'objets dans les locaux de la première citée, rien ne permet de supposer que les objets emportés par la prévenue se trouvent dans ses propres locaux ou ceux de l'employée du couple. Comme le relève l'arrêt cantonal, la propriété des objets emportés - dont on ne possède pas de liste précise - est actuellement indécise. Elle a été soumise aux juridictions civiles qui n'ont pas encore statué, la prévenue ayant notamment produit des attestations censées démontrer son droit de propriété. Devant ces incertitudes de fait et de droit, on ne saurait reprocher au Ministère public d'avoir renoncé en l'état à des perquisitions à l'étranger dont le résultat apparaît à tout le moins hasardeux. Les recourants ne contestent pas que la question déterminante du droit de propriété sur les biens peut être résolue sans recours aux perquisitions requises. Le refus d'y procéder ne viole dès lors pas le droit fédéral.</w:t>
      </w:r>
    </w:p>
    <w:p>
      <w:r>
        <w:rPr>
          <w:b/>
        </w:rPr>
        <w:t>E. 3</w:t>
      </w:r>
    </w:p>
    <w:p>
      <w:r>
        <w:t>Sur le vu de ce qui précède, le recours doit être rejeté, dans la mesure où il est recevable. conformément à l' art. 66 al. 1 LTF , les frais judiciaires sont mis à la charge des recourants.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