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1B_108/2012 vom 19. Juni 2012</w:t>
      </w:r>
    </w:p>
    <w:p>
      <w:r>
        <w:t>Bundesgericht, 2012-06-19, DE</w:t>
      </w:r>
    </w:p>
    <w:p>
      <w:r>
        <w:rPr>
          <w:b/>
        </w:rPr>
        <w:t xml:space="preserve">Quelle: </w:t>
      </w:r>
      <w:r>
        <w:t>https://mcp.opencaselaw.ch/entscheid/bger_1B_108_2012</w:t>
      </w:r>
    </w:p>
    <w:p>
      <w:r>
        <w:t>FR: TF 1B_108/2012 du 19 juin 2012</w:t>
      </w:r>
    </w:p>
    <w:p>
      <w:r>
        <w:t>IT: TF 1B_108/2012 del 19 giugno 2012</w:t>
      </w:r>
    </w:p>
    <w:p>
      <w:pPr>
        <w:pStyle w:val="Heading2"/>
      </w:pPr>
      <w:r>
        <w:t>Erwägungen</w:t>
      </w:r>
    </w:p>
    <w:p>
      <w:r>
        <w:rPr>
          <w:b/>
        </w:rPr>
        <w:t>E. 1</w:t>
      </w:r>
    </w:p>
    <w:p>
      <w:r>
        <w:t>Die Beschwerde richtet sich gegen den Beschluss der Beschwerdekammer des Obergerichts vom 13. Januar 2012 betreffend Neuverlegung der Kosten und Parteientschädigung im Anschluss an die Aufhebung ihres Entscheids vom 7. Oktober 2011 durch das Bundesgericht. Das Bundesgericht prüft seine Zuständigkeit und die Eintretensvoraussetzungen von Amtes wegen ( Art. 29 Abs. 1 BGG ).</w:t>
      </w:r>
    </w:p>
    <w:p>
      <w:r>
        <w:rPr>
          <w:b/>
        </w:rPr>
        <w:t>E. 2</w:t>
      </w:r>
    </w:p>
    <w:p>
      <w:r>
        <w:t>Gemäss Art. 90 BGG ist die Beschwerde ans Bundesgericht zulässig gegen Endentscheide, d.h. gegen Entscheide, die das Verfahren abschliessen. Gegen selbstständig eröffnete Vor- und Zwischenentscheide, die weder die Zuständigkeit noch den Ausstand betreffen (vgl. Art. 92 BGG ), ist die Beschwerde ans Bundesgericht nach Art. 93 Abs. 1 BGG zulässig, wenn der Entscheid einen nicht wieder gutzumachenden Nachteil bewirken kann (lit. a) oder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rPr>
          <w:b/>
        </w:rPr>
        <w:t>E. 3.1</w:t>
      </w:r>
    </w:p>
    <w:p>
      <w:r>
        <w:t>Beim Entscheid vom 7. Oktober 2011, mit dem die Beschwerdekammer des Obergerichts als letzte kantonale Instanz die Abweisung des Haftentlassungsgesuchs bestätigte, handelte es sich nicht um einen Endentscheid im Sinne von Art. 90 BGG , der das Strafverfahren gegen die Beschwerdeführerin abschloss, sondern um einen selbstständig eröffneten Zwischenentscheid. Dagegen war die Beschwerde ans Bundesgericht im Hinblick auf Art. 93 Abs. 1 lit. a BGG zulässig, weil die umstrittene Fortsetzung des vorzeitigen Strafvollzugs geeignet war, einen nicht wieder gutzumachenden Nachteil für die Beschwerdeführerin zu bewirken (vgl. Urteil 1B_632/2011 vom 2. Dezember 2011 E. 1). Auch der vorliegend angefochtene Entscheid schliesst das Strafverfahren gegen die Beschwerdeführerin nicht ab, weshalb es sich ebenfalls um einen selbstständig eröffneten Zwischenentscheid handelt, gegen den die Beschwerde ans Bundesgericht wiederum nur unter den Voraussetzungen von Art. 93 Abs. 1 lit. a BGG zulässig wäre, zumal er weder die Zuständigkeit noch ein Ausstandsbegehren betrifft (vgl. Art. 92 BGG ) und die Gutheissung der Beschwerde nicht sofort einen Endentscheid herbeiführen würde (vgl. Art. 93 Abs. 1 lit. b BGG ).</w:t>
      </w:r>
    </w:p>
    <w:p>
      <w:r>
        <w:rPr>
          <w:b/>
        </w:rPr>
        <w:t>E. 3.2</w:t>
      </w:r>
    </w:p>
    <w:p>
      <w:r>
        <w:t>Nachdem das Bundesgericht den Entscheid der Beschwerdekammer vom 7. Oktober 2011 aufgehoben und entschieden hat, die Beschwerdeführerin sei nach Anordnung von Ersatzmassnahmen aus der Haft zu entlassen, hatte die Vorinstanz im vorliegend angefochtenen Beschluss vom 13. Januar 2012 noch über die Neuverlegung der Kosten und Parteientschädigung für das kantonale Haft- sowie Haftbeschwerdeverfahren zu befinden. Dieser Beschluss war im Gegensatz zum Entscheid vom 7. Oktober 2011 nicht (mehr) geeignet, einen nicht wieder gutzumachenden Nachteil im Sinne von Art. 93 Abs. 1 lit. a BGG für die Beschwerdeführerin zu bewirken. Nach dieser Bestimmung ist die Beschwerde gegen einen Zwischenentscheid nämlich nur zulässig, wenn dieser einen Nachteil bewirken könnte, der auch durch einen für den Beschwerdeführer günstigen Endentscheid (sei es im kantonalen Verfahren, sei es in einem anschliessenden Verfahren vor Bundesgericht) nicht mehr behoben werden könnte, wobei die blosse Verzögerung oder Verteuerung des Verfahrens generell nicht genügt, um einen sofortigen Entscheid des Bundesgerichts zu erwirken ( BGE 136 II 165 E. 1.2.1 S. 170). Die Neuverlegung der Kosten und Parteientschädigung in einem Zwischenentscheid bewirkt nach der Rechtsprechung keinen solchen Nachteil ( BGE 135 III 329 E. 1.2 S. 331 mit Hinweisen; vgl. auch die Urteile 1B_133/2012 vom 8. Mai 2012 E. 1 und 8C_980/2010 vom 16. Februar 2011 E. 2.2 mit Hinweisen). Die Beschwerdeführerin könnte sich gegen die ihrer Ansicht nach zu tiefe Parteientschädigung für das kantonale Haft- bzw. Haftbeschwerdeverfahren mit Beschwerde gegen den Entscheid in der Hauptsache zur Wehr setzen, ohne dass ihr daraus ein Nachteil im Sinne von Art. 93 Abs. 1 lit. a BGG entstünde.</w:t>
      </w:r>
    </w:p>
    <w:p>
      <w:r>
        <w:rPr>
          <w:b/>
        </w:rPr>
        <w:t>E. 4</w:t>
      </w:r>
    </w:p>
    <w:p>
      <w:r>
        <w:t>Auf die Beschwerde ist nicht einzutreten. Bei diesem Ausgang des Verfahrens wird die Beschwerdeführerin grundsätzlich kostenpflichtig. Sie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