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1B_107/2015 vom 21. April 2015</w:t>
      </w:r>
    </w:p>
    <w:p>
      <w:r>
        <w:t>Bundesgericht, 2015-04-21, FR</w:t>
      </w:r>
    </w:p>
    <w:p>
      <w:r>
        <w:rPr>
          <w:b/>
        </w:rPr>
        <w:t xml:space="preserve">Quelle: </w:t>
      </w:r>
      <w:r>
        <w:t>https://mcp.opencaselaw.ch/entscheid/bger_1B_107_2015</w:t>
      </w:r>
    </w:p>
    <w:p>
      <w:r>
        <w:t>FR: TF 1B_107/2015 du 21 avril 2015</w:t>
      </w:r>
    </w:p>
    <w:p>
      <w:r>
        <w:t>IT: TF 1B_107/2015 del 21 aprile 2015</w:t>
      </w:r>
    </w:p>
    <w:p>
      <w:pPr>
        <w:pStyle w:val="Heading2"/>
      </w:pPr>
      <w:r>
        <w:t>Erwägungen</w:t>
      </w:r>
    </w:p>
    <w:p>
      <w:r>
        <w:rPr>
          <w:b/>
        </w:rPr>
        <w:t>E. 1.1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let. b ch. 1 LTF, la prévenue, actuellement détenue,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1.2</w:t>
      </w:r>
    </w:p>
    <w:p>
      <w:r>
        <w:t>A l'appui de son écriture, la recourante produit toute une série de pièces, dont l'acte d'accusation du 25 mars 2015.</w:t>
      </w:r>
    </w:p>
    <w:p>
      <w:r>
        <w:t>Conformément à l' art. 99 al. 1 LTF , aucun fait nouveau ou preuve nouvelle ne peut être présenté à moins de résulter de la décision de l'autorité précédente. Les pièces nouvelles que l'intimée a versées à la procédure postérieurement à l'arrêt attaqué doivent dès lors être écartées. En particulier, l'acte d'accusation, postérieur à l'arrêt entrepris, constitue un vrai nova qui échappe à la cognition du Tribunal fédéral. Quoi qu'il en soit, il n'apparaît pas de nature à influer sur le sort de la présente procédure (cf. ci-dessous consid. 3.2).</w:t>
      </w:r>
    </w:p>
    <w:p>
      <w:r>
        <w:rPr>
          <w:b/>
        </w:rPr>
        <w:t>E. 2</w:t>
      </w:r>
    </w:p>
    <w:p>
      <w:r>
        <w:t>Dans un grief d'ordre formel qu'il convient d'examiner en premier lieu, la recourante se plaint d'une violation de son droit d'être entendue.</w:t>
      </w:r>
    </w:p>
    <w:p>
      <w:r>
        <w:rPr>
          <w:b/>
        </w:rPr>
        <w:t>E. 2.1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rPr>
          <w:b/>
        </w:rPr>
        <w:t>E. 2.2</w:t>
      </w:r>
    </w:p>
    <w:p>
      <w:r>
        <w:t>A l'appui de son grief, la recourante reproche à l'instance précédente d'avoir - par rapport au précédent arrêt rendu dans cette affaire - complétement modifié sa décision sans aucune explication. Elle relève que sa nationalité et son domicile en France étaient parfaitement connus, que finalement les charges portent sur un transport de cocaïne non pas de 8 kg mais de 4,5 kg et, enfin, que le montant proposé à titre de sûretés a été augmenté à 3'000 euros.</w:t>
      </w:r>
    </w:p>
    <w:p>
      <w:r>
        <w:t>Le grief tiré d'une violation du droit d'être entendu est mal fondé. La recourante perd en particulier de vue que le Tribunal cantonal n'est pas lié par le raisonnement qu'il a tenu dans son arrêt du 30 janvier 2015, celui-ci ayant été annulé par le Tribunal fédéral au motif que la mesure de substitution proposée était manifestement insuffisante pour pallier le risque de fuite que présentait la recourante. Il ressort par ailleurs de l'arrêt attaqué que les juges cantonaux n'ont pas ignoré le fait que le montant des sûretés s'élevait dorénavant à 3'000 euros, ni que la recourante avait reconnu avoir transporté 4,5 k g de cocaïne. En l'occurrence, la cour cantonale a exposé de façon suffisante sous l'angle de l' art. 29 al. 2 Cst. les raisons qui l'ont amenée à confirmer l'ordonnance du 7 janvier 2015 prononçant la détention provisoire de la recourante. Le recours doit donc être rejeté sur ce point.</w:t>
      </w:r>
    </w:p>
    <w:p>
      <w:r>
        <w:rPr>
          <w:b/>
        </w:rPr>
        <w:t>E. 3</w:t>
      </w:r>
    </w:p>
    <w:p>
      <w:r>
        <w:t>La recourante conteste le risque de fuite et estime par ailleurs disproportionné son maintien en détention. Elle re proche également à la cour cantonale d'avoir estimé insuffisant le montant des sûretés proposé.</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 117 Ia 69 consid. 4a p. 70).</w:t>
      </w:r>
    </w:p>
    <w:p>
      <w:r>
        <w:rPr>
          <w:b/>
        </w:rPr>
        <w:t>E. 3.2</w:t>
      </w:r>
    </w:p>
    <w:p>
      <w:r>
        <w:t>En l'occurrence, le Tribunal fédéral a estimé dans son arrêt du 16 février 2015 que le risque de fuite présenté par la recourante était particulièrement évident. Il se fondait notamment sur la nationalité camerounaise de la recourante, son domicile en France, l'absence d'attaches avec la Suisse et sur les charges retenues qui portaient alors sur un trafic de 8 kg de cocaïne.</w:t>
      </w:r>
    </w:p>
    <w:p>
      <w:r>
        <w:t>Contrairement à ce que soutient la recourante, le fait que le transport de cocaïne qu'il lui est reproché concerne 4,5 kg au maximum ne permet pas de nier le risque de fuite qui apparaît toujours évident. Vu la quantité considérable de drogue qu'elle a transportée, elle se trouve en effet exposée à une peine privative de liberté nettement supérieure à la peine minimale d'une année (cf. art. 19 al. 2 LStup ). La recourante évoque d'ailleurs elle-même la condamnation d'une autre mule du même réseau à une peine de 4 ans de prison pour avoir transporté 5,5 kg de cocaïne. La volonté exprimée par l'intimée de collaborer à la procédure et de ne pas se retrouver dans la clandestinité ne saurait suffire pour dissiper le risque de la voir prendre la fuite. Enfin, le fait qu'elleentende plaider le sursis partiel n'est pas non plus déterminant, étant en particulier relevé qu'il n'est pas d'emblée manifeste que celui-ci lui sera octroyé.</w:t>
      </w:r>
    </w:p>
    <w:p>
      <w:r>
        <w:rPr>
          <w:b/>
        </w:rPr>
        <w:t>E. 3.3</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et la saisie des documents d'identité (let. b).</w:t>
      </w:r>
    </w:p>
    <w:p>
      <w:r>
        <w:t>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(arrêts 1B_274 2014 du 26 août 2014 consid. 3.3; 1P.165/2006 du 19 avril 2006 consid. 3.2.1, in SJ 2006 I p. 395). Il convient également de faire preuve de prudence quant à l'origine des fonds proposés comme sûretés (arrêt 1B_576/2012 du 19 octobre 2012 consid. 5.3 et les références citées).</w:t>
      </w:r>
    </w:p>
    <w:p>
      <w:r>
        <w:rPr>
          <w:b/>
        </w:rPr>
        <w:t>E. 3.4</w:t>
      </w:r>
    </w:p>
    <w:p>
      <w:r>
        <w:t>Dans son arrêt du 16 février 2015, le Tribunal fédéral a retenu que la somme de 2'000 fr. offerte à titre de sûretés par la recourante était manifestement insuffisante, compte tenu de sa nationalité, de son domicile en France et de la gravité des charges. Dans le présent recours, la recourante affirme que le nouveau montant proposé de 3'000 euros serait très conséquent au vu de la situation financière du couple. Cette somme proviendrait exclusivement des économies du couple et de faibles sommes d'argent que son ami aurait pu emprunter à des amis du couple. L'intéressée affirme ne pas vouloir mettre dans l'embarras financier son ami qui est également le père de sa fille et qui la soutient.</w:t>
      </w:r>
    </w:p>
    <w:p>
      <w:r>
        <w:t>En l'occurrence, le Tribunal cantonal a considéré que le montant de la caution de 3'000 euros qui correspondait à un peu plus deux mois de revenu (926 euros de salaires et 460 euros d'allocations familiales par mois) n'était toujours pas suffisant pour pallier le risque de fuite. L'instance précédente pouvait en effet considérer, sans outrepasser son pouvoir d'appréciation, que l'augmentation du montant des sûretés d'environ 1'000 fr., n'était pas propre à limiter le risque de fuite. La recourante ne rend pas vraisemblable que le nouveau montant offert aurait plus de force dissuasive que le précédent montant. Dans ces conditions, on peut admettre que la perspective de perdre cette somme d'argent n'agira pas comme un frein suffisamment puissant pour écarter toute velléité de fuite.</w:t>
      </w:r>
    </w:p>
    <w:p>
      <w:r>
        <w:rPr>
          <w:b/>
        </w:rPr>
        <w:t>E. 3.5</w:t>
      </w:r>
    </w:p>
    <w:p>
      <w:r>
        <w:t>Enfin, la recourante estime que son maintien en détention contreviendrait au principe de la proportionnalité dans la mesure où cette incarcération aurait de très lourdes répercussions sur sa vie, notamment familiale. Cette critique doit d'emblée être rejetée. Les conditions matérielles justifiant le maintien en détention de l'intéressée sont en effet réunies en l'espèce (existence de charges suffisantes et risque de fuite). Le fait que la détention provisoire puisse avoir de lourdes conséquences pour la recourante (séparation avec ses enfants, perte de son logement et de son travail, etc. ) et son ami ne permet pas en soi de tenir cette détention pour disproportionnée. Pour le même motif, l'intimée ne saurait se prévaloir du droit au respect de la vie privée et familiale et en particulier de l'intérêt des enfants ( art. 8 CEDH et art. 9 de la Convention relative aux droits de l'enfant) pour exiger sa libération immédiate.</w:t>
      </w:r>
    </w:p>
    <w:p>
      <w:r>
        <w:rPr>
          <w:b/>
        </w:rPr>
        <w:t>E. 4</w:t>
      </w:r>
    </w:p>
    <w:p>
      <w:r>
        <w:t>Sur le vu de ce qui précède, le recours doit être rejeté. La demande d'assistance judiciaire de la recourante peut en revanche être admise; Me Nicole Diserens est désignée comme avocate d'office de la recourante, rétribuée par la caisse du Tribunal fédéral, et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