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1B_107/2009 vom 18. Juni 2009</w:t>
      </w:r>
    </w:p>
    <w:p>
      <w:r>
        <w:t>Bundesgericht, 2009-06-18, DE</w:t>
      </w:r>
    </w:p>
    <w:p>
      <w:r>
        <w:rPr>
          <w:b/>
        </w:rPr>
        <w:t xml:space="preserve">Quelle: </w:t>
      </w:r>
      <w:r>
        <w:t>https://mcp.opencaselaw.ch/entscheid/bger_1B_107_2009</w:t>
      </w:r>
    </w:p>
    <w:p>
      <w:r>
        <w:t>FR: TF 1B_107/2009 du 18 juin 2009</w:t>
      </w:r>
    </w:p>
    <w:p>
      <w:r>
        <w:t>IT: TF 1B_107/2009 del 18 giugno 2009</w:t>
      </w:r>
    </w:p>
    <w:p>
      <w:pPr>
        <w:pStyle w:val="Heading2"/>
      </w:pPr>
      <w:r>
        <w:t>Erwägungen</w:t>
      </w:r>
    </w:p>
    <w:p>
      <w:r>
        <w:rPr>
          <w:b/>
        </w:rPr>
        <w:t>E. 1.1</w:t>
      </w:r>
    </w:p>
    <w:p>
      <w:r>
        <w:t>Die Anfechtbarkeit nach Art. 92 Abs. 1 BGG ist gegeben.</w:t>
      </w:r>
    </w:p>
    <w:p>
      <w:r>
        <w:rPr>
          <w:b/>
        </w:rPr>
        <w:t>E. 1.2</w:t>
      </w:r>
    </w:p>
    <w:p>
      <w:r>
        <w:t>Ob der angefochtene Entscheid letztinstanzlich ist, ist unklar (vgl. Vernehmlassung des Stv. Generalprokurators S. 2 Ziff. 4). Die Frage kann offen bleiben, da auf die Beschwerde ohnehin nicht einzutreten ist.</w:t>
      </w:r>
    </w:p>
    <w:p>
      <w:r>
        <w:rPr>
          <w:b/>
        </w:rPr>
        <w:t>E. 1.3</w:t>
      </w:r>
    </w:p>
    <w:p>
      <w:r>
        <w:t>Gemäss Art. 279 Abs. 2 BStP (SR 312.0) i.V.m. Art. 28 Abs. 1 lit. g des Bundesgesetzes vom 4. Oktober 2002 über das Bundesstrafgericht (SGG; SR 173.71) kann gegen den Entscheid der kantonalen Strafverfolgungsbehörde über die Gerichtsbarkeit des betreffenden Kantons Beschwerde bei der Beschwerdekammer des Bundesstrafgerichts geführt werden, deren Entscheid endgültig ist ( Art. 79 BGG e contrario). Nach Auffassung des Stv. Generalprokurators war dieses Rechtsmittel nicht gegeben, weil der angefochtene Entscheid nicht in Anwendung des Strafgesetzbuches, sondern einzig gestützt auf kantonales Recht erging, aus welchem Grund statt einer Rechtsmittelbelehrung der Hinweis erfolgte, es gebe kein ordentliches Rechtsmittel.</w:t>
      </w:r>
    </w:p>
    <w:p>
      <w:r>
        <w:t>Der Beschwerdeführer bestreitet die bernische Gerichtsbarkeit, da die ihm vorgeworfenen steuerstrafrechtlichen Widerhandlungen nicht nach bernischem Strafrecht zu beurteilen und im Kanton Freiburg erfolgt seien, weshalb nach Massgabe von Art. 340 StGB die freiburgische Gerichtsbarkeit gegeben sei. Folgt man der Auffassung des Beschwerdeführers, ist der Entscheid des Stv. Generalprokurators bei der Beschwerdekammer des Bundesstrafgerichts anzufechten, was der Beschwerdeführer, wenn auch erfolglos, getan hat. Es ist nicht zu sehen, inwiefern die Zuständigkeit des Bundesgerichts gegeben sein könnte. Zur behaupteten Zulässigkeit der Beschwerde in Strafsachen bringt der Beschwerdeführer einzig vor, bei Art. 340 StGB handle es sich um eine bundesrechtliche Zuständigkeitsfrage (Beschwerde S. 7 Ziff. 4.4 a.E.). Die Zulässigkeit solcher Rügen ( Art. 95 lit. a BGG ) besagt indessen nichts über die Zuständigkeit des Bundesgerichts. Ist dessen Zuständigkeit aber nicht gegeben, ist auf die Beschwerde nicht einzutreten.</w:t>
      </w:r>
    </w:p>
    <w:p>
      <w:r>
        <w:rPr>
          <w:b/>
        </w:rPr>
        <w:t>E. 2</w:t>
      </w:r>
    </w:p>
    <w:p>
      <w:r>
        <w:t>Bei diesem Ausgang des Verfahrens trägt der Beschwerdeführer die Kosten ( Art. 66 Abs. 1 Satz 1 BGG ).</w:t>
      </w:r>
    </w:p>
    <w:p>
      <w:r>
        <w:t>Mit dem vorliegenden Entscheid braucht über das Gesuch um aufschiebende Wirkung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