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106/2019 vom 10. Mai 2019</w:t>
      </w:r>
    </w:p>
    <w:p>
      <w:r>
        <w:t>Bundesgericht, 2019-05-10, DE</w:t>
      </w:r>
    </w:p>
    <w:p>
      <w:r>
        <w:rPr>
          <w:b/>
        </w:rPr>
        <w:t xml:space="preserve">Quelle: </w:t>
      </w:r>
      <w:r>
        <w:t>https://mcp.opencaselaw.ch/entscheid/bger_1B_106_2019</w:t>
      </w:r>
    </w:p>
    <w:p>
      <w:r>
        <w:t>FR: TF 1B 106/2019 du 10 mai 2019</w:t>
      </w:r>
    </w:p>
    <w:p>
      <w:r>
        <w:t>IT: TF 1B 106/2019 del 10 maggio 2019</w:t>
      </w:r>
    </w:p>
    <w:p>
      <w:pPr>
        <w:pStyle w:val="Heading2"/>
      </w:pPr>
      <w:r>
        <w:t>Regeste</w:t>
      </w:r>
    </w:p>
    <w:p>
      <w:r>
        <w:t>Strafverfahren; Ausstandsbegehren | Zuständigkeitsfragen, Garantie des Wohnsitzrichters und des v...</w:t>
      </w:r>
    </w:p>
    <w:p>
      <w:pPr>
        <w:pStyle w:val="Heading2"/>
      </w:pPr>
      <w:r>
        <w:t>Erwägungen</w:t>
      </w:r>
    </w:p>
    <w:p>
      <w:r>
        <w:rPr>
          <w:b/>
        </w:rPr>
        <w:t>E. 1</w:t>
      </w:r>
    </w:p>
    <w:p>
      <w:r>
        <w:t>Die zwei Beschwerden hängen inhaltlich und prozessual eng miteinander zusammen, weshalb es sich rechtfertigt, die beiden bundesgerichtlichen Verfahren 1B_106/2019 und 1B_107/2019 zu vereinigen und gemeinsam zu erledigen (vgl. Art. 71 BGG i.V.m. Art. 24 Abs. 2 lit. b BZP ).</w:t>
      </w:r>
    </w:p>
    <w:p>
      <w:r>
        <w:rPr>
          <w:b/>
        </w:rPr>
        <w:t>E. 2.1</w:t>
      </w:r>
    </w:p>
    <w:p>
      <w:r>
        <w:t>Bei den angefochtenen Entscheiden handelt es sich um selbständig mit Beschwerde in Strafsachen beim Bundesgericht anfechtbare kantonal letztinstanzliche Zwischenentscheide über den Ausstand eines Gerichtsmitglieds der Vorinstanz (vgl. Art. 78, 80 und 92 BGG ).</w:t>
      </w:r>
    </w:p>
    <w:p>
      <w:r>
        <w:rPr>
          <w:b/>
        </w:rPr>
        <w:t>E. 2.2</w:t>
      </w:r>
    </w:p>
    <w:p>
      <w:r>
        <w:t>Die beiden Beschwerdeführer haben jeweils am vorinstanzlichen Verfahren teilgenommen und verfügen über ein rechtlich geschütztes Interesse an der Aufhebung bzw. Änderung der angefochtenen Entscheide. Sie sind daher zur Beschwerdeerhebung legitimiert (vgl. Art. 81 BGG ). Dass in den Beschwerdeschriften jeweils nur A.A.________ ausdrücklich als Beschwerdeführer bezeichnet wird, schadet nicht, da B.A.________ nicht nur im Rubrum der Beschwerdeschriften ebenfalls aufgeführt wird, sondern die Beschwerden auch selbst unterzeichnet hat.</w:t>
      </w:r>
    </w:p>
    <w:p>
      <w:r>
        <w:rPr>
          <w:b/>
        </w:rPr>
        <w:t>E. 3.1</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Die Beschwerdeführer müssen sich wenigstens kurz mit den Erwägungen des angefochtenen Entscheids auseinandersetzen. Rein appellatorische Kritik ohne Bezug zum angefochtenen Entscheid genügt nicht. Erhöhte Anforderungen an die Begründung gelten, soweit die Verletzung von Grundrechten gerügt wird ( Art. 106 Abs. 2 BGG ; vgl. BGE 138 I 171 E. 1.4 S. 176; 135 III 127 E. 1.6 S. 130; 133 II 249 E. 1.4 S. 254 f.; je mit Hinweisen).</w:t>
      </w:r>
    </w:p>
    <w:p>
      <w:r>
        <w:rPr>
          <w:b/>
        </w:rPr>
        <w:t>E. 3.2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BGE 137 I 58 E. 4.1.2 S. 62).</w:t>
      </w:r>
    </w:p>
    <w:p>
      <w:r>
        <w:rPr>
          <w:b/>
        </w:rPr>
        <w:t>E. 3.3</w:t>
      </w:r>
    </w:p>
    <w:p>
      <w:r>
        <w:t>Die eingereichten Beschwerdebegründungen sind weitgehend appellatorischer Natur und nur schwer verständlich. Es ist lediglich teilweise erkennbar, was genau die Beschwerdeführer dem Obergerichtspräsidenten vorwerfen, dessen Ausstand sie verlangen. Das gilt immerhin für die Behauptung, er hätte unwahre Angaben gemacht und sich auf entsprechende falsche Tatsachen abgestützt. Eine weitere erkennbare Rüge bezieht sich auf den Beizug einer Praktikantin als Gerichtsschreiberin. Soweit die Beschwerdeführer darüber hinaus Ausstandsgründe anrufen und dabei geltend machen wollten, die vorinstanzlichen Sachverhaltsfeststellungen seien falsch, genügen ihre Ausführungen den Anforderungen an eine ausreichende Beschwerdebegründung nicht. Es kann daher nur im nachfolgenden beschränkten Umfang auf die Beschwerden eingetreten werden.</w:t>
      </w:r>
    </w:p>
    <w:p>
      <w:r>
        <w:rPr>
          <w:b/>
        </w:rPr>
        <w:t>E. 4.1</w:t>
      </w:r>
    </w:p>
    <w:p>
      <w:r>
        <w:t>Art. 56 StPO zählt verschiedene Gründe auf, die zum Ausstand von in einer Strafbehörde tätigen Personen führen. Nach dem vom Beschwerdeführer angerufenen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Dass ein Richter gegen eine bestimmte Person entscheidet, rechtfertigt für sich allein noch keinen Ausstand.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des Bundesgerichts 1B_101/2017 vom 7. Juni 2017 E. 2.1).</w:t>
      </w:r>
    </w:p>
    <w:p>
      <w:r>
        <w:rPr>
          <w:b/>
        </w:rPr>
        <w:t>E. 4.2</w:t>
      </w:r>
    </w:p>
    <w:p>
      <w:r>
        <w:t>Die Beschwerdeführer werfen dem Obergerichtspräsidenten in erster Linie Unwahrheiten vor. Er habe namentlich behauptet, sie hätten sich nicht an die einschlägigen Fristen gehalten. Ihre Eingaben, insbesondere diejenige vom 20. April 2018, hätten sie aber rechtzeitig eingereicht. Das belege die Voreingenommenheit des Obergerichtspräsidenten. Mit an die Beschwerdeführer gerichtetem Schreiben vom 3. April 2018 führte der Obergerichtspräsident in Ziff. 3 aus, ihre Anfang April 2018 eingereichten Eingaben gegen die Nichtanhandnahmeverfügungen vom 4. August 2017 erschienen prima vista als verspätet; es bedürfe daher einer Erklärung, weshalb die Beschwerdeführung noch zulässig sei. Mit Einschreiben vom 11. April 2018 hielt der Obergerichtspräsident fest, die Beschwerdeführer hätten in ihrer inzwischen am 5. April 2018 aufgegebenen neuen Eingabe unter anderem den in Ziff. 3 erwähnten Punkt unbeantwortet gelassen und setzte den Beschwerdeführern eine neue Frist für die notwendigen Verbesserungen. Darauf reagierten die Beschwerdeführer mit Eingaben vom 24. April 2018. Die Beschwerdeführer stellen sich nunmehr auf den Standpunkt, sie hätten die ihnen gesetzten Fristen gewahrt, weshalb der Vorwurf der Verspätung fehl gehe. Der Obergerichtspräsident stellte indessen nicht fest, sie hätten die von ihm gesetzten richterlichen Fristen nicht eingehalten, sondern vielmehr, sie hätten sich nicht zur von ihm gestellten Frage geäussert, weshalb sie erst im April 2018 gegen die Nichtanhandnahmeverfügungen vom August 2017 vorgegangen seien. Dies steht nicht im Widerspruch zu den Akten, findet sich doch in den damaligen Eingaben der Beschwerdeführer keine Erklärung für diese verzögerte Reaktion. Die entsprechende Feststellung ist weder offensichtlich unrichtig noch geeignet, eine Voreingenommenheit des Obergerichtspräsidenten zu belegen. Dass das Bundesgericht später entschied, die Beschwerdeführer hätten ihre Parteirechte mangels Einbezugs ins Verfahren gar nicht früher vornehmen können, und ihre entsprechenden Beschwerden am 20. November 2018 guthiess (Urteil 6B_722/2018, 6B_723/2018), ändert daran nichts. Genau diese Umstände hätten die Beschwerdeführer in Beantwortung der ihnen gestellten Frage klären können. Selbst wenn sich der Obergerichtspräsident insofern getäuscht haben sollte, führt der Umstand, dass ein Gerichtsentscheid wie hier durch eine höhere Instanz aufgehoben wird, bei einer Rückweisung für sich allein nicht zur Ausstandspflicht aller bisher beteiligten Gerichtspersonen, wie das Obergericht in den angefochtenen Entscheiden zu Recht erwog. Besonders krasse oder wiederholte materielle oder prozessuale Rechtsfehler des Obergerichtspräsidenten sind nicht ersichtlich, weshalb kein Ausstandsgrund vorliegt.</w:t>
      </w:r>
    </w:p>
    <w:p>
      <w:r>
        <w:rPr>
          <w:b/>
        </w:rPr>
        <w:t>E. 4.3</w:t>
      </w:r>
    </w:p>
    <w:p>
      <w:r>
        <w:t>Schliesslich legen die Beschwerdeführer nicht ausreichend dar und es ist auch nicht erkennbar, inwiefern die von ihnen auch noch kritisierte Einsetzung einer juristischen Praktikantin als Gerichtsschreiberin einen Ausstandsgrund des Obergerichtspräsidenten belegen oder sonstwie einen groben Verfahrensmangel darstellen sollte. Ein solcher Beizug von Praktikanten ist an den erst- und zweitinstanzlichen Gerichten der Schweiz durchaus üblich und gilt als zulässig.</w:t>
      </w:r>
    </w:p>
    <w:p>
      <w:r>
        <w:rPr>
          <w:b/>
        </w:rPr>
        <w:t>E. 5</w:t>
      </w:r>
    </w:p>
    <w:p>
      <w:r>
        <w:t>Die Beschwerden erweisen sich als unbegründet und sind abzuweisen, soweit darauf eingetreten werden kann. Bei diesem Verfahrensausgang werden die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