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1B_105/2018 vom 22. Februar 2018</w:t>
      </w:r>
    </w:p>
    <w:p>
      <w:r>
        <w:t>Bundesgericht, 2018-02-22, DE</w:t>
      </w:r>
    </w:p>
    <w:p>
      <w:r>
        <w:rPr>
          <w:b/>
        </w:rPr>
        <w:t xml:space="preserve">Quelle: </w:t>
      </w:r>
      <w:r>
        <w:t>https://mcp.opencaselaw.ch/entscheid/bger_1B_105_2018</w:t>
      </w:r>
    </w:p>
    <w:p>
      <w:r>
        <w:t>FR: TF 1B_105/2018 du 22 février 2018</w:t>
      </w:r>
    </w:p>
    <w:p>
      <w:r>
        <w:t>IT: TF 1B_105/2018 del 22 febbraio 2018</w:t>
      </w:r>
    </w:p>
    <w:p>
      <w:pPr>
        <w:pStyle w:val="Heading2"/>
      </w:pPr>
      <w:r>
        <w:t>Erwägungen</w:t>
      </w:r>
    </w:p>
    <w:p>
      <w:r>
        <w:rPr>
          <w:b/>
        </w:rPr>
        <w:t>E. 1</w:t>
      </w:r>
    </w:p>
    <w:p>
      <w:r>
        <w:t>Die Staatsanwaltschaft II des Kantons Zürich führt gegen A.________ eine Strafuntersuchung wegen qualifizierter Widerhandlungen gegen das Betäubungsmittelgesetz etc. Die Oberstaatsanwaltschaft des Kantons Zürich bestellte A.________ mit Verfügung vom 27. Juni 2017 Rechtsanwalt B.________ als amtlichen Verteidiger. Nachdem die Oberstaatsanwaltschaft mit Verfügungen vom 15. August 2017, 19. September 2017 sowie 18. Oktober 2017 drei Gesuche von A.________ um Wechsel der amtlichen Verteidigung abgewiesen hatte, trat sie mit Verfügung vom 3. November 2017 auf ein neuerliches Gesuch von A.________ nicht ein. Dagegen erhob A.________ am 16. November 2017 Beschwerde, welche die III. Strafkammer des Obergerichts des Kantons Zürich mit Beschluss vom 25. Januar 2018 abwies, soweit sie darauf eintrat. Zur Begründung führte die Strafkammer zusammenfassend aus, dass der Beschwerdeführer überhaupt nicht auf die Begründung der Staatsanwaltschaft in ihrer Nichteintretensverfügung vom 3. November 2017 eingehe, sondern lediglich erneut angebliche Gründe für einen Wechsel der amtlichen Verteidigung vorbringe. Entsprechend sei auf die Beschwerde nicht einzutreten. Im Übrigen würden keine aussagekräftigen Hinweise vorliegen, die in objektiv nachvollziehbarer Weise für eine erhebliche Störung des Vertrauensverhältnisses sprechen würden.</w:t>
      </w:r>
    </w:p>
    <w:p>
      <w:r>
        <w:rPr>
          <w:b/>
        </w:rPr>
        <w:t>E. 2</w:t>
      </w:r>
    </w:p>
    <w:p>
      <w:r>
        <w:t>A.________ führt mit Eingabe vom 18. Februar 2018 (Postaufgabe 20. Februar 2018)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überhaupt nicht mit den Ausführungen der III. Strafkammer auseinander. Mit seiner blossen Kritik am amtlichen Verteidiger vermag er nicht ansatzweise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