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1B_105/2011 vom 14. September 2011</w:t>
      </w:r>
    </w:p>
    <w:p>
      <w:r>
        <w:t>Bundesgericht, 2011-09-14, FR</w:t>
      </w:r>
    </w:p>
    <w:p>
      <w:r>
        <w:rPr>
          <w:b/>
        </w:rPr>
        <w:t xml:space="preserve">Quelle: </w:t>
      </w:r>
      <w:r>
        <w:t>https://mcp.opencaselaw.ch/entscheid/bger_1B_105_2011</w:t>
      </w:r>
    </w:p>
    <w:p>
      <w:r>
        <w:t>FR: TF 1B_105/2011 du 14 septembre 2011</w:t>
      </w:r>
    </w:p>
    <w:p>
      <w:r>
        <w:t>IT: TF 1B_105/2011 del 14 settembre 2011</w:t>
      </w:r>
    </w:p>
    <w:p>
      <w:pPr>
        <w:pStyle w:val="Heading2"/>
      </w:pPr>
      <w:r>
        <w:t>Erwägungen</w:t>
      </w:r>
    </w:p>
    <w:p>
      <w:r>
        <w:rPr>
          <w:b/>
        </w:rPr>
        <w:t>E. 1.1</w:t>
      </w:r>
    </w:p>
    <w:p>
      <w:r>
        <w:t>La décision attaquée confirme le classement de la procédure pénale prononcé par le Ministère public, ainsi que l'ordonnance de soit-communiqué - sans inculpation - rendue précédemment par le juge d'instruction. Il s'agit là de décisions rendues en matière pénale au sens de l' art. 78 LTF . L'arrêt attaqué, qui les confirme, a un caractère final ( art. 90 LTF ) et émane de l'autorité cantonale de dernière instance ( art. 80 LTF ). Le recourant a agi en temps utile ( art. 100 al. 1 LTF ).</w:t>
      </w:r>
    </w:p>
    <w:p>
      <w:r>
        <w:rPr>
          <w:b/>
        </w:rPr>
        <w:t>E. 1.1.1</w:t>
      </w:r>
    </w:p>
    <w:p>
      <w:r>
        <w:t>Quand bien même il est fondé sur l'ancien code de procédure pénale genevois (CPP/GE), l'arrêt attaqué a été rendu le 4 février 2011. La qualité pour agir du recourant doit donc s'examiner au regard de l' art. 81 LTF dans sa teneur en vigueur au 1er janvier 2011 ( art. 132 al. 1 LTF ).</w:t>
      </w:r>
    </w:p>
    <w:p>
      <w:r>
        <w:rPr>
          <w:b/>
        </w:rPr>
        <w:t>E. 1.1.2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rPr>
          <w:b/>
        </w:rPr>
        <w:t>E. 1.1.3</w:t>
      </w:r>
    </w:p>
    <w:p>
      <w:r>
        <w:t>Lorsque, comme en l'espèce, le recours est dirigé contre une décision de classement de l'action pénale, il n'est pas nécessaire que la partie plaignante ait déjà pris des conclusions civiles.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127 IV 185 consid. 1a p. 187). Tel est le cas en l'occurrence: le recourant se plaint de mauvais traitements infligés par des agents de la police, et il conclut à l'allocation d'une indemnité équitable de ce chef, quand bien même il n'en précise pas le montant. Une telle indication peut être considérée comme suffisante à ce stade, ce qui justifie d'entrer en matière.</w:t>
      </w:r>
    </w:p>
    <w:p>
      <w:r>
        <w:rPr>
          <w:b/>
        </w:rPr>
        <w:t>E. 1.2</w:t>
      </w:r>
    </w:p>
    <w:p>
      <w:r>
        <w:t>Le recourant prétend également agir sur la base des art. 114A ss CPP /GE, dispositions qui confèrent à toute personne touchée par une mesure de contrainte ou une intervention de la police, le droit de s'en plaindre auprès du Procureur général. Ce dernier peut constater une violation de la loi, ordonner des mesures propres à assurer le respect de la loi ou allouer une indemnité équitable ( art. 114B CPP /GE). Il s'agit d'une procédure administrative spécifique assimilable d'une part à une dénonciation et d'autre part à une action en responsabilité de l'Etat. Dans la mesure où il peut notamment conclure à une indemnisation (sous réserve de la question de la valeur litigieuse, cf. art. 85 al. 1 let. a LTF ) ou à une constatation d'illicéité, le dénonciateur pourrait prétendre être "particulièrement atteint" et disposer d'un intérêt digne de protection, au sens de l' art. 89 al. 1 lettre b LTF ( ATF 137 II 40 consid. 2.3 p. 43; 133 II 468 ; 120 Ib 351 consid. 3a p. 355). Le recours en matière de droit public paraît donc également ouvert.</w:t>
      </w:r>
    </w:p>
    <w:p>
      <w:r>
        <w:rPr>
          <w:b/>
        </w:rPr>
        <w:t>E. 1.3</w:t>
      </w:r>
    </w:p>
    <w:p>
      <w:r>
        <w:t>La recevabilité des recours ordinaires entraîne l'irrecevabilité du recours constitutionnel subsidiaire ( art. 113 Cst. )</w:t>
      </w:r>
    </w:p>
    <w:p>
      <w:r>
        <w:rPr>
          <w:b/>
        </w:rPr>
        <w:t>E. 2</w:t>
      </w:r>
    </w:p>
    <w:p>
      <w:r>
        <w:t>Le recourant se plaint en premier lieu d'une violation de l' art. 112 al. 1 et 3 LTF . Il reproche à la cour cantonale d'avoir mélangé les faits et le droit, sans préciser son appréciation des preuves ni établir l'ensemble des faits pertinents, s'agissant de savoir si le recourant a ou non refusé de se légitimer auprès des policiers, quelle est la cause de la fracture de la clavicule et s'il a reçu des coups. Sur ces derniers points, le recourant se plaint aussi d'établissement arbitraire des faits.</w:t>
      </w:r>
    </w:p>
    <w:p>
      <w:r>
        <w:rPr>
          <w:b/>
        </w:rPr>
        <w:t>E. 2.1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3 Cst. ), lequel oblige notamment l'autorité à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rPr>
          <w:b/>
        </w:rPr>
        <w:t>E. 2.2</w:t>
      </w:r>
    </w:p>
    <w:p>
      <w:r>
        <w:t>Ces garanties formelles sont respectées dans le cas particulier. Dans sa partie en fait, l'arrêt attaqué relate les différentes déclarations et versions des parties, considérées à juste titre comme des faits, mais sans se prononcer sur leur véracité. Il expose ensuite le résultat des mesures d'instruction complémentaires effectuées après le premier arrêt du Tribunal fédéral. Dans sa partie en droit, l'arrêt attaqué retient les faits qui peuvent être considéré comme établis, soit parce qu'ils découlent du dossier soit parce qu'ils ne sont pas contestés. Il précise qu'il subsiste un doute quant au fait de savoir si le recourant a ou non refusé de se légitimer. La cour cantonale s'est enfin livrée à une évaluation des différents témoignages recueillis, s'agissant des mauvais traitements allégués. L'arrêt attaqué ne mélange donc nullement le fait et le droit, et sa motivation permet au recourant de faire valoir ses arguments en connaissance de cause. Le grief doit dès lors être écarté.</w:t>
      </w:r>
    </w:p>
    <w:p>
      <w:r>
        <w:rPr>
          <w:b/>
        </w:rPr>
        <w:t>E. 2.3</w:t>
      </w:r>
    </w:p>
    <w:p>
      <w:r>
        <w:t>Le Tribunal fédéral statue sur la base des faits établis par l'autorité précédente ( art. 105 al. 1 LTF ). Il ne peut s'en écarter que si les faits ont été établis de façon manifestement inexacte ( ATF 136 II 304 consid. 2.4 p. 314, 101 consid. 3 p. 104)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2.3.1</w:t>
      </w:r>
    </w:p>
    <w:p>
      <w:r>
        <w:t>La cour cantonale a laissé indécise la question de savoir si le recourant, comme il le soutient, a bien présenté ses papiers aux gendarmes. Le recourant se fonde pour sa part sur le témoignage d'un ami qui, après les faits, avait retrouvé son permis B sur les lieux de l'interpellation. La Chambre d'accusation a tenu compte de ce témoignage, puisqu'elle a considéré qu'en dépit des déclarations des policiers, un doute subsistait sur ce point. Contrairement à ce que soutient le recourant, la découverte ultérieure de son permis sur les lieux ne constitue pas une preuve formelle que celui-ci aurait été présenté par le recourant aux policiers qui l'interpellaient; celui-ci aurait également pu tomber au sol lors de l'altercation.</w:t>
      </w:r>
    </w:p>
    <w:p>
      <w:r>
        <w:rPr>
          <w:b/>
        </w:rPr>
        <w:t>E. 2.3.2</w:t>
      </w:r>
    </w:p>
    <w:p>
      <w:r>
        <w:t>Le recourant reprend les déclarations du médecin selon lequel une fracture de la clavicule proviendrait le plus souvent "d'un coup donné perpendiculairement". Le recourant en déduit que la probabilité d'un coup sur la clavicule serait plus importante que celle d'une chute, ce d'autant qu'une plaie aurait été constatée sur la face postérieur de son épaule droite. Dans son témoignage, le médecin orthopédiste indique certes que la fracture de la clavicule provient le plus souvent d'un coup. Il précise toutefois que ce genre de fractures est fréquent lors d'une chute en avant à bicyclette, et n'a dès lors nullement voulu exprimer que la probabilité d'un coup serait plus importante que celle d'une chute. Quant à la plaie constatée, elle est compatible avec la chute et l'immobilisation de force subie par le recourant. L'ordonnance attaquée n'a rien d'insoutenable sur ce point également.</w:t>
      </w:r>
    </w:p>
    <w:p>
      <w:r>
        <w:rPr>
          <w:b/>
        </w:rPr>
        <w:t>E. 2.3.3</w:t>
      </w:r>
    </w:p>
    <w:p>
      <w:r>
        <w:t>Le recourant conteste l'affirmation de la cour cantonale selon laquelle il n'aurait pas eu d'autres blessures, ni éprouvé de douleur ou subi de mauvais traitement. Les policiers eux-mêmes auraient admis l'avoir frappé aux jambes avec leurs bâtons, l'un d'eux s'étant même cassé. Le certificat médical ferait par ailleurs mention de la plaie précitée à l'épaule. L'appréciation de la Chambre d'accusation se fonde sur le fait, attesté par le personnel de l'hôpital, que le recourant ne s'est pas plaint d'autres blessures, et que de telles blessures auraient été mentionnées dans le dossier médical. Il n'est dès lors pas contraire au dossier de retenir que les coups portés aux jambes du recourant - et admis par les intimés - n'ont pas occasionné de blessures, et que la plaie à l'épaule était en rapport avec la chute au sol.</w:t>
      </w:r>
    </w:p>
    <w:p>
      <w:r>
        <w:t>Les griefs en relation avec l'établissement des faits doivent par conséquent être écartés.</w:t>
      </w:r>
    </w:p>
    <w:p>
      <w:r>
        <w:rPr>
          <w:b/>
        </w:rPr>
        <w:t>E. 3</w:t>
      </w:r>
    </w:p>
    <w:p>
      <w:r>
        <w:t>Le recourant se plaint ensuite de violations de règles de procédure tel le droit à une enquête immédiate (art. 12 de la Convention des Nations Unies contre la torture et autres peines ou traitements cruels, inhumains ou dégradants conclue à New York le 10 décembre 1984 - ci-après: la convention de New York; RS 0.105), le droit à une procédure menée avec célérité et le droit à une enquête effective et approfondie ( art. 3, 6 et 13 CEDH , art. 13 de la Convention contre la torture).</w:t>
      </w:r>
    </w:p>
    <w:p>
      <w:r>
        <w:rPr>
          <w:b/>
        </w:rPr>
        <w:t>E. 3.1</w:t>
      </w:r>
    </w:p>
    <w:p>
      <w:r>
        <w:t>La Convention de New York, entrée en vigueur pour la Suisse le 26 juin 1987, oblige les Etats parties à se doter d'une loi qui punisse de manière appropriée les actes de torture, ainsi que les actes constitutifs de peines ou de traitements cruels, inhumains ou dégradants, et à instituer des tribunaux compétents pour appliquer cette loi (cf. art. 4, 5 et 16). Son art. 12 oblige les Etats parties à veiller à ce que les autorités compétentes procèdent immédiatement à une enquête impartiale chaque fois qu'il y a des motifs raisonnables de croire qu'un tel acte a été commis sur un territoire soumis à leur juridiction.</w:t>
      </w:r>
    </w:p>
    <w:p>
      <w:r>
        <w:t>Les faits dénoncés par le recourant se sont déroulés le 2 mai 2005. Le recourant a été immédiatement amené à l'hôpital où les médecins ont pu faire les constatations nécessaires. Un rapport d'arrestation a été dressé le même jour, et le recourant a fourni sa version des faits. La version des policiers a elle aussi été immédiatement recueillie puisque ceux-ci ont déposé plainte le même jour contre le recourant. Celui-ci a été entendu par le juge d'instruction le 3 mai 2005, puis le 6 juin 2005 à propos de la plainte de C.________. Il a déposé plainte le 10 mai 2005. Le Juge d'instruction a demandé, le 7 juin 2005, la communication de l'identité du stagiaire intervenu en renfort. Il apparaît ainsi que les déclarations des personnes impliquées ont été immédiatement recueillies, ainsi que les renseignements d'ordre médical. Les preuves essentielles ont dès lors été administrées sans retard, de sorte que l'on ne saurait reprocher aux autorités de poursuite d'avoir tardé à instruire et d'avoir ainsi couru le risque d'une altération ou disparition des preuves déterminantes.</w:t>
      </w:r>
    </w:p>
    <w:p>
      <w:r>
        <w:rPr>
          <w:b/>
        </w:rPr>
        <w:t>E. 3.2</w:t>
      </w:r>
    </w:p>
    <w:p>
      <w:r>
        <w:t>Sur le vu de ce qui précède, le recourant se plaint également en vain d'une violation du principe de célérité. Le Juge d'instruction était en effet parallèlement chargé de l'enquête sur plainte des deux agents de police, et a recueilli dans ce cadre des informations nécessaires au traitement de la plainte du recourant. Par ailleurs, si l'instruction a connu quelques périodes d'inactivité (du 6 juin au 5 octobre 2006, puis du 6 novembre 2006 au 27 août 2007), il n'en est résulté aucune disparition ou altération des preuves essentielles. Le personnel médical a en effet clairement indiqué que si le recourant s'était plaint, lors de l'examen survenu immédiatement après les faits, de lésions autres que la fracture de la clavicule, mention en aurait été faite au dossier. Le recourant ne soutient pas, par ailleurs, que l'enquête reprise après l'arrêt du Tribunal fédéral du 27 novembre 2008 aurait connu des retards inadmissibles.</w:t>
      </w:r>
    </w:p>
    <w:p>
      <w:r>
        <w:rPr>
          <w:b/>
        </w:rPr>
        <w:t>E. 3.3</w:t>
      </w:r>
    </w:p>
    <w:p>
      <w:r>
        <w:t>Enfin, le droit du recourant à une enquête effective et approfondie n'a pas été violé.</w:t>
      </w:r>
    </w:p>
    <w:p>
      <w:r>
        <w:rPr>
          <w:b/>
        </w:rPr>
        <w:t>E. 3.3.1</w:t>
      </w:r>
    </w:p>
    <w:p>
      <w:r>
        <w:t>Une violation de ce doit avait été constatée dans l'arrêt du 27 novembre 2008, le Tribunal fédéral ayant estimé que les preuves envisageables pour vérifier les affirmations du recourant n'avaient pas été administrées, et qu'il y avait lieu en particulier d'entendre les auteurs du certificat médical du 2 mai 2005 afin de déterminer si d'autres lésions avaient - ou auraient - pu être constatées. Ces investigations complémentaires ont été effectuées: les dossiers médicaux ont été produits et le personnel de l'hôpital a été entendu. Il en ressort clairement que le recourant ne s'est pas plaint d'autres lésions que la fracture de la clavicule, sans quoi mention en aurait été faite au dossier. Contrairement à ce que soutient le recourant, le droit à une enquête approfondie n'imposait pas à l'autorité de rechercher spontanément si l'intéressé pouvait souffrir d'autres blessures que celle dont il se plaignait expressément. Dans ces conditions, un examen médical ordonné immédiatement par le juge n'apparaissait pas nécessaire, pas plus qu'une expertise médico-légale. Il en va de même des différents actes d'instruction évoqués par le recourant: une expertise de la matraque (l'usage de celle-ci, sa rupture et la présence d'un défaut de fabrication ont déjà été établis), une analyse des habits portés par le recourant et les diverses auditions requises n'auraient pas permis de parvenir à des conclusions différentes de celles retenues dans l'ordonnance de classement.</w:t>
      </w:r>
    </w:p>
    <w:p>
      <w:r>
        <w:rPr>
          <w:b/>
        </w:rPr>
        <w:t>E. 3.3.2</w:t>
      </w:r>
    </w:p>
    <w:p>
      <w:r>
        <w:t>Comme le relève l'ordonnance de la Chambre d'accusation, si le recourant n'a pas pu participer aux auditions des 2 et 12 mars 2010 de l'ami et de l'épouse du recourant, cela tient à l'absence d'inculpation. Le recourant a de toute façon eu accès au dossier après la décision de classement, et a pu faire valoir ses objections dans le cadre de la procédure de recours, ce qui satisfait à son droit d'être entendu. Le recourant n'indique pas, au demeurant, qu'il aurait été privé du droit de poser des questions complémentaires aux témoins qui ont été entendus.</w:t>
      </w:r>
    </w:p>
    <w:p>
      <w:r>
        <w:rPr>
          <w:b/>
        </w:rPr>
        <w:t>E. 3.3.3</w:t>
      </w:r>
    </w:p>
    <w:p>
      <w:r>
        <w:t>Quant aux objections du recourant à propos de l'appréciation des preuves, elles ne remettent pas en cause le caractère effectif de l'enquête qui a été menée. Les doutes à propos de l'impartialité du juge d'instruction et de l'auteur du rapport concernant la matraque apparaissent à tout le moins tardif à ce stade: il appartenait au recourant de requérir en temps utile la récusation du magistrat, sans attendre l'issue de la procédure. Le juge d'instruction a clairement expliqué pour quelle raison il avait renoncé à une expertise concernant la rupture du bâton: un défaut de fabrication (bulle d'air) avait été constaté, et une expertise ne pourrait établir ni l'intensité des coups ni les endroits où ils auraient été portés. Quant aux antécédents des gendarmes, ils ont été produits et le magistrat a pu constater qu'il n'existait à leur encontre aucune plainte pour violences ou injures. Les actes du juge d'instruction ne dénotent donc aucune prévention à l'égard du recourant.</w:t>
      </w:r>
    </w:p>
    <w:p>
      <w:r>
        <w:rPr>
          <w:b/>
        </w:rPr>
        <w:t>E. 4</w:t>
      </w:r>
    </w:p>
    <w:p>
      <w:r>
        <w:t>Le recourant invoque enfin les droits découlant de l' art. 3 CEDH et 7 Pacte ONU II, ainsi que le droit d'obtenir réparation en cas de mauvais traitements. Ses arguments se rapportent toutefois là aussi à l'appréciation des preuves, et doivent donc être écartés dans la même mesure que ceux qui précèdent.</w:t>
      </w:r>
    </w:p>
    <w:p>
      <w:r>
        <w:rPr>
          <w:b/>
        </w:rPr>
        <w:t>E. 5</w:t>
      </w:r>
    </w:p>
    <w:p>
      <w:r>
        <w:t>Les recours en matière pénale et en matière de droit public doivent par conséquent être rejetés, et le recours constitutionnel subsidiaire est irrecevable. Le recourant a demandé l'assistance judiciaire, et les conditions en paraissent réunies. Me Pierre Bayenet est désigné comme défenseur d'office du recourant, rétribué par la caisse du Tribunal fédéral. Il n'est pas perçu de frais judiciaires. Les intimés B.________ et C.________, qui obtiennent gain de cause devant le Tribunal fédéral avec l'assistance d'un avocat, ont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