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1B_104/2013 vom 13. Mai 2013</w:t>
      </w:r>
    </w:p>
    <w:p>
      <w:r>
        <w:t>Bundesgericht, 2013-05-13, FR</w:t>
      </w:r>
    </w:p>
    <w:p>
      <w:r>
        <w:rPr>
          <w:b/>
        </w:rPr>
        <w:t xml:space="preserve">Quelle: </w:t>
      </w:r>
      <w:r>
        <w:t>https://mcp.opencaselaw.ch/entscheid/bger_1B_104_2013</w:t>
      </w:r>
    </w:p>
    <w:p>
      <w:r>
        <w:t>FR: TF 1B_104/2013 du 13 mai 2013</w:t>
      </w:r>
    </w:p>
    <w:p>
      <w:r>
        <w:t>IT: TF 1B_104/2013 del 13 maggio 2013</w:t>
      </w:r>
    </w:p>
    <w:p>
      <w:pPr>
        <w:pStyle w:val="Heading2"/>
      </w:pPr>
      <w:r>
        <w:t>Erwägungen</w:t>
      </w:r>
    </w:p>
    <w:p>
      <w:r>
        <w:rPr>
          <w:b/>
        </w:rPr>
        <w:t>E. 1</w:t>
      </w:r>
    </w:p>
    <w:p>
      <w:r>
        <w:t>La décision attaquée a été rendue dans le cadre d'une procédure pénale. Elle peut donc faire l'objet d'un recours en matière pénale au sens de l' art. 78 al. 1 LTF . Elle a été rendue en dernière instance cantonale ( art. 80 LTF ). Les recourants, qui se voient dénier la qualité de parties plaignantes, ont pris part à la procédure devant l'autorité précédente et ont un intérêt juridique à l'annulation ou à la réforme de la décision attaquée ( art. 81 LTF ).</w:t>
      </w:r>
    </w:p>
    <w:p>
      <w:r>
        <w:t>Selon la jurisprudence, une décision qui rejette une demande de constitution de partie plaignante dans le procès pénal présente pour la partie concernée, qui se trouve définitivement écartée de la procédure, les traits d'une décision finale au sens de l' art. 90 LTF (cf. ATF 128 I 215 ). Le recours est dès lors recevable.</w:t>
      </w:r>
    </w:p>
    <w:p>
      <w:r>
        <w:rPr>
          <w:b/>
        </w:rPr>
        <w:t>E. 2</w:t>
      </w:r>
    </w:p>
    <w:p>
      <w:r>
        <w:t>Les recourants considèrent que la résiliation du mandat avec X.________ et le transfert des fonds auprès d'une autre banque n'empêchaient pas la réalisation de l'infraction de gestion déloyale. Les recourants se réfèrent à deux arrêts du Tribunal fédéral (1B_311/2010 du 19 novembre 2010 et 1B_678/2011 du 30 janvier 2012) déniant la qualité de partie plaignante à des clients d'une gérante indépendante des prévenus, respectivement à des investisseurs ayant donné eux-mêmes les instructions quant à la gestion des fonds. Ils relèvent que dans leur cas, il existait une relation de mandat et un devoir de gestion des prévenus de 2001 à juin 2008. La cour cantonale aurait ainsi méconnu qu'il existait un lien de causalité entre les investissements opérés et le dommage subi par les recourants. Aucun événement ne serait intervenu entre les mois de juillet et décembre 2008 qui aurait pu inciter les recourants à se défaire des parts litigieuses, investies dès le début du mandat, conservées depuis lors et dont le rendement était correct.</w:t>
      </w:r>
    </w:p>
    <w:p>
      <w:r>
        <w:rPr>
          <w:b/>
        </w:rPr>
        <w:t>E. 2.1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L' art. 115 al. 2 CPP prévoit aussi que sont considérées comme des lésés les personnes qui ont qualité pour déposer plainte pénale. Cette disposition vise les représentants et les héritiers du lésé, ainsi que les autorités et organisations habilitées à porter plainte (PERRIER, in Commentaire romand CPP, n° 15 ad art. 115).</w:t>
      </w:r>
    </w:p>
    <w:p>
      <w:r>
        <w:rPr>
          <w:b/>
        </w:rPr>
        <w:t>E. 2.2</w:t>
      </w:r>
    </w:p>
    <w:p>
      <w:r>
        <w:t>Pour être personnellement lésé au sens de l' art. 115 CPP , l'intéressé doit être titulaire du bien juridiquement protégé touché par l'infraction, ce qui est le cas du propriétaire ou de l'ayant droit dans le cas d'une infraction contre le patrimoine (MAZZUCCHELLI/POSTIZZI, in BSK/ StPO, n° 22 ss ad art. 115; PERRIER, Commentaire romand CPP, n° 8 ad art. 115). Pour être directement touché, il doit en outre subir une atteinte en rapport de causalité directe avec l'infraction poursuivie, ce qui exclut les dommages par ricochet (MAZZUCCHELLI/POSTIZZI, op. cit., n° 28 ad art. 115; PERRIER, op. cit., n° 13 ad art. 115).</w:t>
      </w:r>
    </w:p>
    <w:p>
      <w:r>
        <w:t>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(PERRIER, op. cit., n° 8 ad art. 115). Celui qui entend se constituer partie plaignante doit toutefois rendre vraisemblable le préjudice et le lien de causalité entre celui-ci et l'infraction dénoncée (arrêt 1B_311/2010 du 19 novembre 2010 consid. 3.2).</w:t>
      </w:r>
    </w:p>
    <w:p>
      <w:r>
        <w:rPr>
          <w:b/>
        </w:rPr>
        <w:t>E. 2.3</w:t>
      </w:r>
    </w:p>
    <w:p>
      <w:r>
        <w:t>En l'occurrence, le dommage subi par les recourants ne s'est réalisé qu'au mois de décembre 2008, lorsque les cours des "fonds Madoff" se sont définitivement effondrés. Dès le mois de juillet 2008, les recourants (respectivement leur gestionnaire) avaient la disposition des avoirs et pouvaient les réaliser librement. On peut toutefois se demander si la mauvaise gestion (supposée) durant huit ans ne conserve pas encore un lien de causalité suffisant, du moins au stade actuel de l'instruction. On ignore en effet si les recourants pouvaient réellement, dans les mois qui ont suivi la fin du mandat, se rendre compte du caractère aléatoire des fonds, et prendre une décision en toute connaissance de cause compte tenu des renseignements dont ils disposaient.</w:t>
      </w:r>
    </w:p>
    <w:p>
      <w:r>
        <w:t>Au stade actuel de la procédure, le doute doit en l'occurrence profiter aux plaignants, afin de leur permettre de défendre leur position et de participer à la suite de l'instruction.</w:t>
      </w:r>
    </w:p>
    <w:p>
      <w:r>
        <w:rPr>
          <w:b/>
        </w:rPr>
        <w:t>E. 3</w:t>
      </w:r>
    </w:p>
    <w:p>
      <w:r>
        <w:t>Le recours doit par conséquent être admis. L'arrêt attaqué est annulé, de même que l'ordonnance de refus de la qualité de partie plaignante du 1er novembre 2012. Compte tenu de cette issue, les recourants ont droit à une indemnité de dépens, à la charge du canton de Genève. Les dépens comprennent également l'indemnité pour la procédure de recours cantonal ( art. 68 al. 5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