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1B_102/2011 vom 22. März 2011</w:t>
      </w:r>
    </w:p>
    <w:p>
      <w:r>
        <w:t>Bundesgericht, 2011-03-22, DE</w:t>
      </w:r>
    </w:p>
    <w:p>
      <w:r>
        <w:rPr>
          <w:b/>
        </w:rPr>
        <w:t xml:space="preserve">Quelle: </w:t>
      </w:r>
      <w:r>
        <w:t>https://mcp.opencaselaw.ch/entscheid/bger_1B_102_2011</w:t>
      </w:r>
    </w:p>
    <w:p>
      <w:r>
        <w:t>FR: TF 1B_102/2011 du 22 mars 2011</w:t>
      </w:r>
    </w:p>
    <w:p>
      <w:r>
        <w:t>IT: TF 1B_102/2011 del 22 marzo 2011</w:t>
      </w:r>
    </w:p>
    <w:p>
      <w:pPr>
        <w:pStyle w:val="Heading2"/>
      </w:pPr>
      <w:r>
        <w:t>Erwägungen</w:t>
      </w:r>
    </w:p>
    <w:p>
      <w:r>
        <w:rPr>
          <w:b/>
        </w:rPr>
        <w:t>E. 1</w:t>
      </w:r>
    </w:p>
    <w:p>
      <w:r>
        <w:t>Gemäss Art. 78 Abs. 1 BGG beurteilt das Bundesgericht Beschwerden gegen Entscheide in Strafsachen. Der angefochtene Entscheid ist kantonal letztinstanzlich (Art. 80 i.V.m. Art. 130 Abs. 1 BGG ). Mit dem angefochtenen Beschluss wurde die Untersuchungshaft gegen den Beschwerdeführer verlängert. Der Entscheid schliesst das Verfahren nicht ab, weshalb es sich um einen Zwischenentscheid handelt. Da dieser einen nicht wieder gutzumachenden Nachteil im Sinne von Art. 93 Abs. 1 lit. a BGG bewirken kann, ist die Beschwerde auch insoweit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 Da auch die übrigen Sachurteilsvoraussetzungen erfüllt sind, ist auf die Beschwerde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Nach Art. 221 der Schweizerischen Strafprozessordnung vom 5. Oktober 2007 (StPO; SR 312.0), welche am 1. Januar 2011 in Kraft getreten ist, ist Untersuchungshaft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 Das zuständige Gericht ordnet gemäss Art. 237 StPO an Stelle der Untersuchungshaft eine oder mehrere mildere Massnahmen an, wenn sie den gleichen Zweck wie die Haft erfüllen (Abs. 1). Eine mögliche Ersatzmassnahme ist die Ausweis- und Schriftensperre (Abs. 2 lit. b).</w:t>
      </w:r>
    </w:p>
    <w:p>
      <w:r>
        <w:t>Bei Beschwerden, die gestützt auf das Recht der persönlichen Freiheit wegen der Anordnung von Untersuchungshaft erhoben werden, prüfte das Bundesgericht im Hinblick auf die Schwere des Eingriffs bereits bisher die Auslegung und Anwendung des kantonalen Strafprozessrechts frei ( BGE 135 I 71 E. 2.5 S. 73 f.). Dementsprechend unterliegen auch die Bestimmungen der Schweizerischen Strafprozessordnung über die Untersuchungshaft der freien bundesgerichtlichen Prüfung.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rPr>
          <w:b/>
        </w:rPr>
        <w:t>E. 3.1</w:t>
      </w:r>
    </w:p>
    <w:p>
      <w:r>
        <w:t>Dem wegen Raubmordes vorbestraften Beschwerdeführer wird vorgeworfen, am 2. August 2010 von seinem Wohnort aus ein Inserat auf eine einschlägige Internetseite gestellt zu haben, wonach eine 27-jährige Mutter sich selbst und ihre 12-jährige Tochter für Sado-Maso-Spiele anbiete und wünsche, dass sie beide von einem strengen Sadisten zu willenlosen Geschöpfen erzogen und später allenfalls geschlachtet würden. In einer von ihm verfassten E-Mail vom 13. September 2010 an einen sich als Interessenten ausgebenden verdeckten Ermittler der Kantonspolizei Zürich habe der Beschwerdeführer die angebliche Bereitschaft der Mutter und Tochter zu sadomasochistischen Handlungen weiter verdeutlicht und namens von Y.________ (als Mutter) erklärt, dass man sie und ihre Tochter jederzeit zu Hause abholen könne, dass sie gerne als vermisst gelten würden und sie (die Mutter) nicht älter als 35 Jahre alt werden möchte. Überdies habe der Beschwerdeführer die Wohnadresse von Y.________ angegeben und Fotos einer nackten Frau und eines jungen Mädchens beigefügt, wobei es sich aber nicht um Y.________ und deren Tochter gehandelt habe.</w:t>
      </w:r>
    </w:p>
    <w:p>
      <w:r>
        <w:rPr>
          <w:b/>
        </w:rPr>
        <w:t>E. 3.2</w:t>
      </w:r>
    </w:p>
    <w:p>
      <w:r>
        <w:t>Gemäss Art. 260bis StGB mit dem Randtitel "Strafbare Vorbereitungshandlungen" wird mit Freiheitsstrafe bis zu fünf Jahren oder Geldstrafe bestraft, wer planmässig konkrete technische oder organisatorische Vorkehrungen trifft, deren Art und Umfang zeigen, dass er sich anschickt, insbesondere eine vorsätzliche Tötung (Abs. 1 lit. a), eine schwere Körperverletzung (Abs. 1 lit. c) oder eine Freiheitsberaubung und Entführung (Abs. 1 lit. e) auszuführen.</w:t>
      </w:r>
    </w:p>
    <w:p>
      <w:r>
        <w:t>Dem Beschwerdeführer wird insoweit angelastet, mit seinem Vorgehen zumindest in Kauf genommen zu haben, dass tatsächlich ein Interessent Y.________ und allenfalls auch deren Tochter entführt, schwer verletzt oder gar tötet.</w:t>
      </w:r>
    </w:p>
    <w:p>
      <w:r>
        <w:rPr>
          <w:b/>
        </w:rPr>
        <w:t>E. 3.3</w:t>
      </w:r>
    </w:p>
    <w:p>
      <w:r>
        <w:t>Der Beschwerdeführer bestreitet den dringenden Tatverdacht nicht. Er rügt jedoch, die Vorinstanz habe den Haftgrund der Fluchtgefahr gemäss Art. 221 Abs. 1 lit. a StPO zu Unrecht bejaht. Er sei Schweizer Bürger und habe immer in der Schweiz gewohnt. Seine engsten Bezugspersonen - sein Vater, sein Bruder und seine Lebenspartnerin - lebten ebenfalls in der Schweiz. Er stehe in einem aufgrund der Untersuchungshaft zwar eingestellten, jedoch ungekündigten Arbeitsverhältnis bei der öffentlichen Verwaltung. Seine finanziellen Verhältnisse seien bescheiden, namentlich besitze er kein Vermögen. Überdies leide er unter schweren Rückenbeschwerden. Aufgrund seiner persönlichen Verhältnisse sei selbst bei einer allenfalls drohenden mehrjährigen Verwahrung im Sinne von Art. 64 Abs. 1 StGB keine realistische Fluchtgefahr gegeben. Es sei nicht ersichtlich, wie er angesichts seines Alters von immerhin 52 Jahren, seines kritischen Gesundheitszustands und seiner Persönlichkeit - er lege grossen Wert auf stabile Grundstrukturen - sein Leben auf der Flucht ohne Unterstützung seines Umfelds bewältigen könnte. Um etwelchen Bedenken Rechnung zu tragen, sei eine Pass- und Schriftensperre als Ersatzmassnahme ausreichend.</w:t>
      </w:r>
    </w:p>
    <w:p>
      <w:r>
        <w:rPr>
          <w:b/>
        </w:rPr>
        <w:t>E. 3.4</w:t>
      </w:r>
    </w:p>
    <w:p>
      <w:r>
        <w:t>Die Vorinstanz erwägt, es sei zum jetzigen Zeitpunkt des Verfahrens schwer abzuschätzen, welche Sanktion dem Beschwerdeführer drohe. In Betracht komme allenfalls die Anordnung einer Verwahrung nach Art. 64 Abs. 1 StGB ; auf jeden Fall aber müsse der Beschwerdeführer mit der Verurteilung zu einer empfindlichen Freiheitsstrafe rechnen.</w:t>
      </w:r>
    </w:p>
    <w:p>
      <w:r>
        <w:t>Der Lebensmittelpunkt des Beschwerdeführers befinde sich zweifellos in der Schweiz, wo sich auch seine engsten Bezugspersonen aufhielten. Eine besondere Beziehung zum Ausland bestehe nicht. Sein - zumindest im jetzigen Zeitpunkt - noch ungekündigtes Arbeitsverhältnis als Verwaltungsangestellter, seine eher bescheidenen finanziellen Verhältnisse und seine angeschlagene Gesundheit seien ebenfalls als gegen eine Fluchtgefahr sprechende Indizien zu werten.</w:t>
      </w:r>
    </w:p>
    <w:p>
      <w:r>
        <w:t>Hingegen - so führt die Vorinstanz weiter aus - habe der Beschwerdeführer bei seiner ersten polizeilichen Befragung angegeben, er habe vor zwei Jahren nach Bolivien "verschwinden" wollen. Er habe im Internet einen Deutschen kennengelernt und diesen an dessen Wohnort in der Nähe von Eisenach getroffen. Dieser Deutsche biete lebensmüden Personen für Euro 20'000.-- an, nach Bolivien auf seine Farm zu reisen. Dort würde man Militärangehörigen übergeben und von diesen gequält. Die Gegenleistung bestehe darin, dass man ansonsten ein sorgenfreies Leben führe. Niemand wüsste, wo man sich aufhalte, und man habe keine Schulden, gar nichts. Irgendwann würde man dann umgebracht und niemand vermisse einen (Einvernahme vom 6. Oktober 2010, S. 13 f.). Am Folgetag habe der Beschwerdeführer bei der Befragung durch die Staatsanwaltschaft diese Aussagen bestätigt (Einvernahme vom 7. Oktober 2010, S. 4). Bei einer späteren Einvernahme habe der Beschwerdeführer zu Protokoll gegeben, er habe ins "Sklavencamp" nach Bolivien gehen wollen, um seine Mutter zu bestrafen. Zusätzlich habe er einen Vorfall erwähnt, der sich im Jahr 2008 abgespielt haben soll. Damals habe er "von der Bildfläche verschwinden wollen" und ein Inserat aufgegeben, in welchem er sich als Sklave angeboten habe, der getötet werden wolle. In diesem Zusammenhang habe er mit einer Frau in Köln Kontakt gehabt (Einvernahme vom 26. Oktober 2010, S. 5).</w:t>
      </w:r>
    </w:p>
    <w:p>
      <w:r>
        <w:t>Die Vorinstanz folgert, angesichts dieser detaillierten Schilderungen von zumindest zwei Begebenheiten im Jahr 2008, bei denen der Beschwerdeführer konkret und ernsthaft in Erwägung gezogen habe, zu "verschwinden", dränge es sich auf, die Wahrscheinlichkeit, dass er sich unter dem Eindruck der drohenden Verurteilung dem weiteren Verfahren entziehen könnte, als hinreichend gross zu betrachten. Dass sich diese beiden Vorkommnisse noch zu Lebzeiten seiner Mutter ereignet hätten, welche er gemäss eigenen Angaben mit seinem Handeln habe bestrafen wollen, ändere nichts Entscheidendes. Aus den Aussagen des Beschwerdeführers liessen sich vielmehr auch anderweitige Motive herauslesen, so wenn er auf die Aussicht auf ein sorgenfreies und schuldloses Leben in Bolivien verweise.</w:t>
      </w:r>
    </w:p>
    <w:p>
      <w:r>
        <w:t>Des Weiteren - so betont die Vorinstanz - gehe aus dem im Verfahren wegen Raubmordes erstellten psychiatrischen Gutachten vom 7. November 1988 hervor, dass der Beschwerdeführer bei aufgestauten aggressiven Gefühlen zu impulsartigen, der Spannungsabfuhr dienenden Handlungen neige. Im Rahmen der während des Strafvollzugs durchgeführten ambulanten psychiatrischen Behandlung sei denn auch unter anderem die Erhöhung der Frustrationstoleranz des Beschwerdeführers ein Therapieziel gewesen. Vor diesem Hintergrund sei davon auszugehen, dass dieser - wie seine eigenen Schilderungen nahelegten - mit einiger Wahrscheinlichkeit in belastenden Situationen impulsiv handeln würde. Auch hieraus lasse sich ein Indiz für Fluchtgefahr ableiten.</w:t>
      </w:r>
    </w:p>
    <w:p>
      <w:r>
        <w:t>Die Vorinstanz schliesst zusammenfassend, aufgrund der gesamten Umstände müsse ernsthaft damit gerechnet werden, dass sich der Beschwerdeführer, wenn er sich in Freiheit befände, durch Absetzen ins Ausland oder durch Untertauchen im Inland dem Zugriff der Strafverfolgungsbehörden entziehen könnte. Eine Ersatzmassnahme, welche den gleichen Zweck wie die Haft erfülle, falle ausser Betracht.</w:t>
      </w:r>
    </w:p>
    <w:p>
      <w:r>
        <w:rPr>
          <w:b/>
        </w:rPr>
        <w:t>E. 3.5</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Auch psychische Auffälligkeiten, die auf eine besondere Neigung zu Impulsausbrüchen bzw. Kurzschlusshandlungen schliessen lassen, können eine Fluchtneigung erhöhen ( BGE 123 I 268 E. 2e S. 271 ff.; Urteil 1B_172/2010 vom 25. Oktober 2010 E. 3.3).</w:t>
      </w:r>
    </w:p>
    <w:p>
      <w:r>
        <w:rPr>
          <w:b/>
        </w:rPr>
        <w:t>E. 3.6</w:t>
      </w:r>
    </w:p>
    <w:p>
      <w:r>
        <w:t>Die Vorinstanz hat sich im angefochtenen Beschluss eingehend mit dem Haftgrund der Fluchtgefahr auseinandergesetzt. Ihre Ausführungen überzeugen:</w:t>
      </w:r>
    </w:p>
    <w:p>
      <w:r>
        <w:t>Dem Beschwerdeführer droht eine mehrjährige Freiheitsstrafe oder möglicherweise eine Verwahrung gemäss Art. 64 Abs. 1 StGB , was einen gewichtigen Anreiz zur Flucht darstellt.</w:t>
      </w:r>
    </w:p>
    <w:p>
      <w:r>
        <w:t>Im psychiatrischen Gutachten vom 7. November 1988 wurden beim Beschwerdeführer eine geistig mangelhafte Entwicklung und eine beschränkte Fähigkeit, aggressive Impulse zu steuern, diagnostiziert. Im Ergebnis ging der psychiatrische Gutachter von einer in mittlerem Masse herabgesetzten Schuldfähigkeit aus. Das im jetzigen Verfahren in Auftrag gegebene psychiatrische Gutachten dürfte bis spätestens Mitte Juli 2011 vorliegen. Bei diesem Stand ist die Folgerung der Vorinstanz, es müsse damit gerechnet werden, dass der Beschwerdeführer (weiterhin) zu unüberlegten impulsiven Reaktionen neige, nicht zu beanstanden. Ebenso wenig verletzt es Bundesrecht, diese konkreten Anhaltspunkte für eine besondere Unberechenbarkeit und Impulsivität des Beschwerdeführers als Indiz für eine bestehende Fluchtgefahr zu werten (vgl. insoweit auch den ähnlich gelagerten Fall 1B_104/2007 vom 25. Juni 2007 E. 3).</w:t>
      </w:r>
    </w:p>
    <w:p>
      <w:r>
        <w:t>Entscheidend ins Gewicht fällt jedoch vor allem, dass der Beschwerdeführer eigenen Angaben zufolge bereits 2008 Pläne hegte und konkrete Vorbereitungshandlungen traf, sich ins Ausland abzusetzen. Auch wenn seine Absicht, sich in ein "Sklavencamp" in Bolivien zu begeben, einer bizarren Fantasie entsprungen sein und mit Suizidgedanken in Zusammenhang gestanden haben mag, besteht doch eine gewisse Wahrscheinlichkeit, dass der Beschwerdeführer angesichts einer drohenden längeren Freiheitsstrafe oder gar einer Verwahrung versucht sein könnte, dieses Vorhaben in die Tat umzusetzen.</w:t>
      </w:r>
    </w:p>
    <w:p>
      <w:r>
        <w:t>Entgegen den Vorbringen in der Beschwerde ist der BGE 117 Ia 69 zugrunde liegende Sachverhalt nicht mit dem zu beurteilenden Fall vergleichbar. Dort fehlten jegliche Hinweise darauf, dass die Inhaftierte konkrete Pläne schmiedete, sich ins Ausland abzusetzen. Zudem wurde festgestellt, dass die Inhaftierte eine innige Beziehung zu ihren beiden (zehn- bzw. dreizehnjährigen) Kindern pflege, was ihr helfe, im seelischen Gleichgewicht zu bleiben; mit einer Flucht aber würde sie sich die Möglichkeit verbauen, den Kontakt mit ihren Kindern aufrechterhalten zu können. Im Ergebnis verneinte das Bundesgericht daher die Fluchtgefahr. Der Beschwerdeführer hingegen hat keine Kinder, welche ihn davon abhalten würden, sich durch Flucht der drohenden Strafe zu entziehen.</w:t>
      </w:r>
    </w:p>
    <w:p>
      <w:r>
        <w:t>Zusammenfassend bestehen damit ausreichend konkrete Anhaltspunkte für das Vorliegen von Fluchtgefahr.</w:t>
      </w:r>
    </w:p>
    <w:p>
      <w:r>
        <w:rPr>
          <w:b/>
        </w:rPr>
        <w:t>E. 4</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