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101/2021 vom 21. Juni 2021</w:t>
      </w:r>
    </w:p>
    <w:p>
      <w:r>
        <w:t>Bundesgericht, 2021-06-21, DE</w:t>
      </w:r>
    </w:p>
    <w:p>
      <w:r>
        <w:rPr>
          <w:b/>
        </w:rPr>
        <w:t xml:space="preserve">Quelle: </w:t>
      </w:r>
      <w:r>
        <w:t>https://mcp.opencaselaw.ch/entscheid/bger_1B_101_2021</w:t>
      </w:r>
    </w:p>
    <w:p>
      <w:r>
        <w:t>FR: TF 1B 101/2021 du 21 juin 2021</w:t>
      </w:r>
    </w:p>
    <w:p>
      <w:r>
        <w:t>IT: TF 1B 101/2021 del 21 giugno 2021</w:t>
      </w:r>
    </w:p>
    <w:p>
      <w:pPr>
        <w:pStyle w:val="Heading2"/>
      </w:pPr>
      <w:r>
        <w:t>Regeste</w:t>
      </w:r>
    </w:p>
    <w:p>
      <w:r>
        <w:t>Strafverfahren; Verlängerung von Ersatzmassnahmen | Strafprozess</w:t>
      </w:r>
    </w:p>
    <w:p>
      <w:pPr>
        <w:pStyle w:val="Heading2"/>
      </w:pPr>
      <w:r>
        <w:t>Erwägungen</w:t>
      </w:r>
    </w:p>
    <w:p>
      <w:r>
        <w:rPr>
          <w:b/>
        </w:rPr>
        <w:t>E. 1</w:t>
      </w:r>
    </w:p>
    <w:p>
      <w:r>
        <w:t>Beim angefochtenen Entscheid handelt es sich um einen kantonal letztinstanzlichen Entscheid über die Verlängerung von Ersatzmassnahmen. Dagegen ist die Beschwerde an das Bundesgericht zulässig ( Art. 78 ff. BGG i.V.m. Art. 237 Abs. 4 und Art. 227 StPO ). Die Beschwerdeführerin war am vorinstanzlichen Verfahren beteiligt und ist als Beschuldigte von den strittigen Ersatzmassnahmen nach wie vor direkt betroffen. Sie ist mithin zur Beschwerde an das Bundesgericht befugt (vgl. Art. 81 Abs. 1 BGG ). Unter Vorbehalt einer hinreichenden Begründung ( Art. 42 Abs. 2 BGG ) ist auf die Beschwerde deshalb grundsätzlich einzutreten.</w:t>
      </w:r>
    </w:p>
    <w:p>
      <w:r>
        <w:rPr>
          <w:b/>
        </w:rPr>
        <w:t>E. 2</w:t>
      </w:r>
    </w:p>
    <w:p>
      <w:r>
        <w:t>Gemäss Art. 237 StPO ordnet das zuständige Gericht an Stelle der Untersuchungs- oder Sicherheitshaft eine oder mehrere mildere Massnahmen an, wenn sie den gleichen Zweck wie die Haft erfüllen (Abs. 1). Anordnung und Anfechtung von Ersatzmassnahmen richten sich sinngemäss nach den Vorschriften über die Untersuchungs- und die Sicherheitshaft (Abs. 4). Ersatzmassnahmen sind nur zulässig, wenn die Voraussetzungen der Untersuchungs- bzw. Sicherheitshaft erfüllt sind, insbesondere ein dringender Tatverdacht und ein besonderer Haftgrund vorliegen (vgl. Art. 221 StPO ; BGE 137 IV 122 E. 2 S. 125). Sodann müssen auch Ersatzmassnahmen den Grundsatz der Verhältnismässigkeit wahren ( Art. 5 Abs. 2, Art. 36 Abs. 3 BV ; Art. 197 StPO ).</w:t>
      </w:r>
    </w:p>
    <w:p>
      <w:r>
        <w:rPr>
          <w:b/>
        </w:rPr>
        <w:t>E. 3</w:t>
      </w:r>
    </w:p>
    <w:p>
      <w:r>
        <w:t>Die Vorinstanz hat sich vorliegend ausführlich und überzeugend mit dem Tatverdacht auseinandergesetzt. Sie hat festgehalten, die von der Beschwerdeführerin eingestandenen (schriftlichen) Äusserungen seien bei objektiver Betrachtung a priori als bedrohlich aufzufassen und angesichts ihrer Intensität auch grundsätzlich geeignet, den Adressaten im Sinne von Art. 285 Ziff. 1 StGB (Gewalt und Drohung gegen Behörden und Beamte) zur Vornahme oder Unterlassung einer Amtshandlung zu nötigen. An dieser Einschätzung ändere nichts, dass die Äusserungen via E-Mail erfolgt seien. Mit dem Versenden der E-Mails sei die Tathandlung bereits vollendet, anders als im von der Beschwerdeführerin zitierten Bundesgerichtsurteil 6B_981/2019 vom 12. November 2020. Dort sei der Versuch einer Vergewaltigung bzw. sexuellen Nötigung durch das Versenden einer E-Mail zur Diskussion gestanden. Dieser sei jedoch aufgrund der fehlenden Nähe zur Tat verneint worden (vgl. Urteil 6B_981/2019 vom 12. November 2020 E. 3.2). Der allgemeine Haftgrund des dringenden Tatverdachts nach Art. 221 Abs. 1 StPO sei nach wie vor erfüllt. Auf diese nachvollziehbaren vorinstanzlichen Ausführungen kann verwiesen werden (vgl. E. 2 des angefochtenen Entscheids). Was die Beschwerdeführerin dagegen vorbringt, gibt keinen Anlass, die Frage einer weitergehenden Prüfung zu unterziehen. Insbesondere ist ihr Einwand unbehelflich, wonach "Worte im juristischen Sinne keine Gewalttaten bzw. keine Gewalt" seien, da Gewalt die physische Verletzung von Körpern bedinge, was ihr nicht vorgeworfen werde, weshalb auch kein Tatverdacht vorliege. Der Beschwerdeführerin wird keine (physische) Gewalt vorgeworfen, sondern Drohungen, welche gemäss Art. 285 Ziff. 1 StGB ebenfalls strafbar sind. Die Rüge erweist sich als unbegründet.</w:t>
      </w:r>
    </w:p>
    <w:p>
      <w:r>
        <w:rPr>
          <w:b/>
        </w:rPr>
        <w:t>E. 4.1</w:t>
      </w:r>
    </w:p>
    <w:p>
      <w:r>
        <w:t>Die Beschwerdeführerin ist sodann der Auffassung, es liege keine Wiederholungs- bzw. Rückfallgefahr vor. Insbesondere mangle es an einer Vortat, da sie einzig wegen versuchter Gewalt und Drohung gegen Behörden und Beamte verurteilt worden sei, nicht aber wegen eines vollendeten Delikts. Weiter sei es unfair zu behauptet, es würden schwere Vergehen und Verbrechen drohen.</w:t>
      </w:r>
    </w:p>
    <w:p>
      <w:r>
        <w:rPr>
          <w:b/>
        </w:rPr>
        <w:t>E. 4.2</w:t>
      </w:r>
    </w:p>
    <w:p>
      <w:r>
        <w:t>Nach Art. 221 Abs. 1 lit. c StPO liegt Wiederholungsgefahr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Nach der Rechtsprechung ist die Aufrechterhaltung von Haft bzw. Ersatzmassnahmen wegen Wiederholungsgefahr zulässig, wenn einerseits die Rückfallprognose ungünstig und anderseits die zu befürchtenden Delikte von schwerer Natur sind. Die rein hypothetische Möglichkeit der Verübung weiterer Delikte sowie die Wahrscheinlichkeit, dass nur geringfügige Straftaten verübt werden, reichen dagegen nicht aus, um eine Präventivhaft bzw. Ersatzmassnahmen zu begründen. Bei den Anforderungen an die Rückfallgefahr besteht eine umgekehrte Proportionalität. Je schwerer die drohenden Taten sind und je höher die Gefährdung der Sicherheit anderer ist, desto geringere Anforderungen sind an die Rückfallgefahr zu stellen. Liegen die Tatschwere und die Sicherheitsrelevanz am oberen Ende der Skala, ist die Messlatte zur Annahme einer rechtserheblichen Rückfallgefahr tiefer anzusetzen ( BGE 143 IV 9 E. 2 S. 11 ff. mit Hinweisen).</w:t>
      </w:r>
    </w:p>
    <w:p>
      <w:r>
        <w:rPr>
          <w:b/>
        </w:rPr>
        <w:t>E. 4.3</w:t>
      </w:r>
    </w:p>
    <w:p>
      <w:r>
        <w:t>Das Bundesgericht hielt bereits im die Beschwerdeführerin betreffenden Urteil 1B_617/2020 vom 23. Januar 2020 E. 2.2.1 fest, sie sei einschlägig vorbestraft, da sie am 8. Februar 2017 wegen Gewalt und Drohungen gegen Behörden und Beamte zu einer Geldstrafe von 120 Tagessätzen verurteilt worden sei. Was die Beschwerdeführerin dagegen vorbringt, insbesondere, dass sie lediglich wegen eines Versuchs verurteilt worden sei, ändert an der Vorstrafe nichts. Unbehelflich ist ausserdem ihr unsubstanziierter Einwand, wonach es "unfair" sei, anzunehmen, es würden schwere Vergehen und Verbrechen drohen. Darauf ist nicht weiter einzugehen, zumal die von der Beschwerdeführerin ausgestossenen Todesdrohungen massive Eingriffe in die psychische Integrität der Opfer darstellen (vgl. so auch das die Beschwerdeführerin betreffende Urteil 1B_617/2019 vom 23. Januar 2020 E. 2.2.1). Ferner ist ebenfalls nicht zu beanstanden, dass die kantonalen Behörden einstweilen von einem deutlichen Rückfallrisiko bzw. einer weiterbestehenden psychischen Problematik mit möglicherweise rückfallbegünstigendem Deliktskonnex ausgegangen sind. Dies gilt umso mehr, als die Beschwerdeführerin eine medikamentöse Behandlung strikt ablehnt, obschon seitens der PUK die Einnahme von Neuroleptika empfohlen wird, unter anderem zur "Angstlösung und zur besseren Distanzierbarkeit der traumatischen Erlebnisse sowie zur Lösung der formalgedanklichen Einengung, möglicherweise zum Wiedererlangen von Korrigierbarkeit überwertiger Ideen sowie allenfalls bestehender wahnhafter Inhalte" (zitiert im vorinstanzlichen Urteil, E. 3.8.2). Die Beschwerdeführerin bringt nichts vor, was zu einer abweichenden Beurteilung führen könnte. Dass die Vorinstanz Wiederholungsgefahr gemäss Art. 221 Abs. 1 lit. c StPO bejaht hat, hält folglich vor Bundesrecht stand.</w:t>
      </w:r>
    </w:p>
    <w:p>
      <w:r>
        <w:rPr>
          <w:b/>
        </w:rPr>
        <w:t>E. 5</w:t>
      </w:r>
    </w:p>
    <w:p>
      <w:r>
        <w:t>Schliesslich kann auch den Vorbringen der Beschwerdeführerin nicht gefolgt werden, die Behandlung mit Neuroleptika sei als Therapie für eine durch einen Treppensturz erlittene Hirnverletzung zweckfremd. Es sei nicht verhältnismässig, die bereits reduzierte Hirnaktivität aufgrund der Hirnverletzung noch mehr zu verlangsamen. In Übereinstimmung mit der Vorinstanz ist vielmehr festzuhalten, dass zum jetzigen Zeitpunkt kein eindeutiger Beweis vorliegt, dass das konfliktive Verhalten der Beschwerdeführerin, wie von ihr behauptet, ausschliesslich von einem mit einem Schädel-Hirn-Trauma vereinbaren somatischen Befund herrührt. Es kann jedenfalls nicht ausgeschlossen werden, dass parallel dazu eine psychische Erkrankung besteht, wie dies im psychiatrischen Gutachten vom 14. Juli 2016 festgehalten wurde. Gemäss diesem Gutachten leidet die Beschwerdeführerin an einer posttraumatischen Belastungsstörung, welche zu Persönlichkeitsveränderungen mit querulatorischen, histrionischen und narzisstischen Anteilen geführt hat. In diesem Zusammenhang ist auch der Verweis der Vorinstanz auf das aktenkundige Schreiben von Dr. med. B.________ vom 12. März 2020 zu beachten. Demgemäss hänge lediglich "ein Teil" des konfliktiven Verhaltens der Beschwerdeführerin mit den Unfallfolgen zusammen. Nach dem Gesagten ist daher nicht zu beanstanden, dass die Vorinstanz von einer weiterbestehenden psychischen Problematik ausgegangen ist, die einer medikamentösen Behandlung bedarf. Im Übrigen ist der Vorinstanz auch insofern zuzustimmen, als sie festhält, selbst bei einer (rein) somatischen Ursache des konfliktiven Verhaltens der Beschwerdeführerin stünde der Bejahung der Wiederholungsgefahr grundsätzlich nichts entgegen, da die Beschwerdeführerin einschlägig vorbestraft sei und einer Vielzahl neu zu untersuchender Delikte beschuldigt werde. Auch aus diesem Grund sei von einer negativen Rückfallprognose auszugehen. Die Eignung der Ersatzmassnahmen entfiele mithin selbst bei einer ganz oder teilweise somatischen Verhaltensursache nicht ohne weiteres. Zusammenfassend erwog die Vorinstanz, die angeordneten Ersatzmassnahmen würden wesentlich zur Stabilisierung der Situation und Verhinderung erneuter Eskalationen beitragen. Die Ersatzmassnahmen dienten der Erreichung des verfolgten Ziels, nämlich der Verminderung der Rückfallgefahr, und seien hierfür auch erforderlich. Das ist nicht zu beanstanden. Der Eingriff erscheint für die Beschwerdeführerin zumutbar: Die angeordneten Massnahmen sind nicht besonders einschneidend und deren Befolgung liegt letztlich in ihrem Interesse. Sie sollen ihr helfen, in Krisen- oder Stresssituationen zuverlässig therapeutische Hilfe in Anspruch nehmen zu können, um sie vor allenfalls wahnhaften Vorstellungen und erneuten Delikten zu schützen. Die Ersatzmassnahmen sind demzufolge verhältnismässig und verletzen kein Bundesrecht.</w:t>
      </w:r>
    </w:p>
    <w:p>
      <w:r>
        <w:rPr>
          <w:b/>
        </w:rPr>
        <w:t>E. 6</w:t>
      </w:r>
    </w:p>
    <w:p>
      <w:r>
        <w:t>Soweit die Beschwerdeführerin überdies geltend macht, die Prozesskosten von über Fr. 200'000.-- würden den Verhältnismässigkeitsgrundsatz krass verletzen, kann auf ihre Beschwerde nicht eingetreten werden. Die angeblichen Kosten des gesamten Verfahrens sind vorliegend nicht Streitge genstand. Dass die Beschwerdeführerin indes auch die ihr von der Vorinstanz auferlegten Gerichtsgebühren in der Höhe von Fr. 1'200.-- als unverhältnismässig erachten würde, kann der Beschwerde nicht entnommen werden.</w:t>
      </w:r>
    </w:p>
    <w:p>
      <w:r>
        <w:rPr>
          <w:b/>
        </w:rPr>
        <w:t>E. 7</w:t>
      </w:r>
    </w:p>
    <w:p>
      <w:r>
        <w:t>Die Beschwerde erweist sich nach dem Gesagten als unbegründet und ist abzuweisen, soweit darauf einzutreten ist. Bei diesem Verfahrensausgang wird die unterliegende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