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1A.91/2002 vom 11. September 2002</w:t>
      </w:r>
    </w:p>
    <w:p>
      <w:r>
        <w:t>Bundesgericht, 2002-09-11, DE</w:t>
      </w:r>
    </w:p>
    <w:p>
      <w:r>
        <w:rPr>
          <w:b/>
        </w:rPr>
        <w:t xml:space="preserve">Quelle: </w:t>
      </w:r>
      <w:r>
        <w:t>https://mcp.opencaselaw.ch/entscheid/bger_1A.91_2002</w:t>
      </w:r>
    </w:p>
    <w:p>
      <w:r>
        <w:t>FR: TF 1A.91/2002 du 11 septembre 2002</w:t>
      </w:r>
    </w:p>
    <w:p>
      <w:r>
        <w:t>IT: TF 1A.91/2002 del 11 settembre 2002</w:t>
      </w:r>
    </w:p>
    <w:p>
      <w:pPr>
        <w:pStyle w:val="Heading2"/>
      </w:pPr>
      <w:r>
        <w:t>Regeste</w:t>
      </w:r>
    </w:p>
    <w:p>
      <w:r>
        <w:t>Rechtshilfe und Auslieferung</w:t>
      </w:r>
    </w:p>
    <w:p>
      <w:pPr>
        <w:pStyle w:val="Heading2"/>
      </w:pPr>
      <w:r>
        <w:t>Erwägungen</w:t>
      </w:r>
    </w:p>
    <w:p>
      <w:r>
        <w:rPr>
          <w:b/>
        </w:rPr>
        <w:t>E. 1.1</w:t>
      </w:r>
    </w:p>
    <w:p>
      <w:r>
        <w:t>Die Beschwerden betreffen die gleiche Sache, richten sich gegen eine gleich lautende Verfügung und stimmen - obwohl sie von zwei verschiedenen Anwälten eingereicht wurden - wörtlich überein. Sie werden deshalb in einem einzigen Urteil behandelt.</w:t>
      </w:r>
    </w:p>
    <w:p>
      <w:r>
        <w:rPr>
          <w:b/>
        </w:rPr>
        <w:t>E. 1.2</w:t>
      </w:r>
    </w:p>
    <w:p>
      <w:r>
        <w:t>Die Zustimmung des Bundesamtes zur Verwendung der rechtshilfeweise übermittelten Unterlagen in den beiden Verwaltungsstreitverfahren stützt sich auf Art. 67 Abs. 2 Satz 1 des Bundesgesetzes über internationale Rechtshilfe in Strafsachen vom 20. März 1981 (Rechtshilfegesetz, IRSG; SR 351.1). Dagegen ist die Verwaltungsgerichtsbeschwerde zulässig ( Art. 25 Abs. 1 IRSG ; BGE 125 II 258 E. 7a/bb, Urteil 1A.246/1999 vom 20. Dezember 1999 E. 1a).</w:t>
      </w:r>
    </w:p>
    <w:p>
      <w:r>
        <w:rPr>
          <w:b/>
        </w:rPr>
        <w:t>E. 1.3</w:t>
      </w:r>
    </w:p>
    <w:p>
      <w:r>
        <w:t>Die Beschwerdeführer sind Inhaber von Bankkonten, über die in den in Frage stehenden Unterlagen Auskünfte enthalten sind. Sie sind deshalb zur Verwaltungsgerichtsbeschwerde befugt (vgl. Art. 80h lit. b IRSG , Art. 9a lit. a der Verordnung über internationale Rechtshilfe in Strafsachen vom 24. Februar 1982 [IRSV; SR 351.11]).</w:t>
      </w:r>
    </w:p>
    <w:p>
      <w:r>
        <w:rPr>
          <w:b/>
        </w:rPr>
        <w:t>E. 2</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(ZV; SR 0.351.913.61) massgebend. Soweit diese Staatsverträge bestimmte Fragen nicht regeln, ist das Landesrecht - das Rechtshilfegesetz und die dazugehörige Verordnung - anwendbar.</w:t>
      </w:r>
    </w:p>
    <w:p>
      <w:r>
        <w:rPr>
          <w:b/>
        </w:rPr>
        <w:t>E. 3.1</w:t>
      </w:r>
    </w:p>
    <w:p>
      <w:r>
        <w:t>Das Europäische Übereinkommen über Rechtshilfe in Strafsachen verlangt, dass die Rechtshilfe für ein strafrechtliches Ermittlungsverfahren erfolgt ( Art. 1 Abs. 1 EUeR ); es enthält keine Einschränkung der weiteren Verwendung der auf dem Rechtshilfeweg erlangten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wieweit sie hierzu verpflichtet ist, ergibt sich aus dem innerstaatlichen Recht. Damit ist in erster Linie auf das Rechtshilfegesetz, insbesondere Art. 67 IRSG , abzustellen. Zu dessen Auslegung kann Art. 5 des Staatsvertrags zwischen der Schweizerischen Eidgenossenschaft und den Vereinigten Staaten von Amerika über gegenseitige Rechtshilfe in Strafsachen vom 25. Mai 1973 (RVUS; SR 0.351.933.6) herangezogen werden, der das Prinzip der Spezialität sowie seine Ausnahmen ausführlich regelt und den entsprechenden Bestimmungen des IRSG zugrunde liegt. Gemäss Art. 67 Abs. 1 Satz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eines gemeinrechtlichen und gleichzeitig eines politischen, militärischen oder fiskalischen Delikts (unter Ausschluss des Abgabebetrugs) erfüllen. Dagegen steht Art. 67 Abs. 1 IRSG einer Verwendung der im Rechtshilfeverfahren erlangten Auskünfte für andere als strafrechtliche und fiskalische Zwecke nicht von vornherein entgegen; eine derartige weitere Verwendung bedarf jedoch regelmässig der Zustimmung des Bundesamtes ( BGE 126 II 316 E. 2a und b mit Hinweisen). In BGE 122 II 134 erwog das Bundesgericht, Art. 67 Abs. 1 IRSG stehe einer zivilprozessualen Verwendung der im Rechtshilfeverfahren erlangten Auskünfte jedenfalls dann nicht entgegen, wenn es sich um die Forderung des durch die Straftat Geschädigten handle. Es wäre widersinnig, Rechtshilfe zur Verurteilung eines Straftäters zu leisten, aber gleichzeitig dem Geschädigten zu verwehren, sich auf die Ergebnisse der Rechtshilfeleistung zu berufen, um zu seinem Recht zu kommen. Dies müsse unabhängig davon gelten, ob über die zivilrechtlichen Forderungen des Geschädigten im Adhäsionsverfahren oder in einem separaten Zivilprozess entschieden werde. Dagegen könne man einwenden, der durch eine Straftat Geschädigte werde damit beweismässig besser gestellt als andere Kläger, die auf die Gewährung zivilrechtlicher Rechtshilfe angewiesen seien und denen das Bankgeheimnis in weiterem Umfang entgegengehalten werden könne als bei der Rechtshilfe in Strafsachen. Es sei jedoch ein legitimer Nebenzweck des strafrechtlichen Verfahrens, dem Geschädigten zu seinem Recht zu verhelfen. Unter diesem Blickwinkel erscheine die beweismässige Besserstellung des durch eine Straftat Geschädigten gegenüber "normalen" Forderungsklägern durchaus gerechtfertigt (E. 7c/cc und dd S. 139). In BGE 125 II 258 führte das Bundesgericht aus, die Verwendung der durch Rechtshilfe in Strafsachen erlangten Auskünfte und Schriftstücke in einem Zivilprozess bedürfe grundsätzlich der Zustimmung des Bundesamtes nach Art. 67 Abs. 2 Satz 1 IRSG . Das gelte jedoch nicht, soweit das Zivilverfahren die Rückführung der deliktisch erlangten Vermögenswerte an den Berechtigten zum Gegenstand habe und insofern das Strafverfahren ergänze (E. 7a/bb). Die Frage, ob auch die zivilprozessuale Verwendung für Schadenersatzforderungen des Opfers wegen der dem Rechtshilfeverfahren zugrunde liegenden Straftat der Zustimmung des Bundesamtes bedürfe, liess das Bundesgericht offen (E. 7a/cc). In BGE 126 II 316 ging es um die Zulässigkeit der Weiterverwendung rechtshilfeweise übermittelter Unterlagen im Verfahren vor einem Untersuchungsausschuss des Deutschen Bundestages. Ein Untersuchungsausschuss soll dem Bundestag die für bestimmte politische Entscheidungen erforderlichen Informationen beschaffen. Er ist ein Instrument parlamentarischer Kontrolle und dient der Selbstinformation des Parlaments; seine Aufgabe ist nicht die Durchsetzung des materiellen Strafrechts und des staatlichen Strafanspruchs. Das Bundesgericht bestätigte in diesem Entscheid zunächst, dass das Bundesamt der Verwendung rechtshilfeweise übermittelter Unterlagen in einem Zivilverfahren zustimmen darf, wenn das Ersuchen das Zivilverfahren in persönlicher und sachlicher Hinsicht klar umgrenzt, das Zivilverfahren mit dem Strafverfahren konnex ist und der Entschädigung des durch die Straftat Geschädigten dient (E. 2b). Das Bundesgericht befand sodann, dass für das Verfahren vor einem Untersuchungsausschuss des Deutschen Bundestages keine primäre Rechtshilfe geleistet werden darf, weil es sich dabei um kein Strafverfahren handelt (E. 3b). Anschliessend erwog das Bundesgericht, der Ausschluss der primären Rechtshilfe für das Verfahren vor einem Untersuchungsausschuss des Deutschen Bundestages bedeute nicht, dass auch die Weiterverwendung von Informationen, die bereits für ein Strafverfahren übermittelt worden seien, also die sekundäre Rechtshilfe, unzulässig sei. Vielmehr stelle sich die Frage, ob die sekundäre Rechtshilfe nicht unter analogen Voraussetzungen, wie sie für Zivilprozesse gelten, zugelassen werden sollte. Das Bundesgericht bejahte dies, da es widersprüchlich wäre, Rechtshilfe zur Verurteilung eines Straftäters zu leisten, aber es gleichzeitig dem ersuchenden Staat zu verwehren, sich auf die Ergebnisse der Rechtshilfeleistung zu stützen, um über die politischen Folgen der Straftaten zu befinden. Das Bundesamt dürfe daher der Verwendung der für das Strafverfahren übermittelten Auskünfte und Schriftstücke im Verfahren eines Untersuchungsausschusses des Bundestages zustimmen, wenn das für das Verfahren vor dem Untersuchungsausschuss eingereichte Gesuch um Verwendung der bereits übermittelten Informationen den politischen Zweck der Verwendung klar genug umschreibe und das Verfahren vor dem Untersuchungsausschuss mit dem strafrechtlichen Verfahren hinreichend konnex sei. Selbst wenn diese Voraussetzungen erfüllt seien, sei die Verwendung der für ein Strafverfahren übermittelten Informationen durch einen Untersuchungsausschuss dann unzulässig, wenn der Untersuchungsausschuss einen Sachverhalt untersuche, der ausschliesslich nicht rechtshilfefähige Delikte umfasse. Soweit jedoch der Untersuchungsausschuss Informationen im Zusammenhang mit rechtshilfefähigen Delikten (wie beispielsweise Bestechungsdelikten) beschaffen solle, damit der Bundestag über deren politische Folgen entscheiden könne, stehe einer Leistung der Rechtshilfe nichts entgegen (E. 4a).</w:t>
      </w:r>
    </w:p>
    <w:p>
      <w:r>
        <w:rPr>
          <w:b/>
        </w:rPr>
        <w:t>E. 3.2</w:t>
      </w:r>
    </w:p>
    <w:p>
      <w:r>
        <w:t>Das Bundesgericht beurteilte danach die Weiterverwendung rechtshilfeweise übermittelter Unterlagen als zulässig in separaten Verfahren, die in einem nahen Bezug zum Strafverfahren stehen. In den beiden Verwaltungsstreitverfahren vor dem Oberverwaltungsgericht Berlin geht es um die Frage, ob - wie die BvS geltend macht - das Vermögen der Y.________ GmbH der ehemaligen Sozialistischen Einheitspartei Deutschlands (SED) und damit heute dem deutschen Staat zusteht oder ob - wie X.________ behauptet - das Vermögen der Y.________ GmbH der Kommunistischen Partei Österreichs (KPÖ) zuzurechnen sei. Dabei handelt es sich um eine für das Strafverfahren entscheidende Vorfrage. Die Verurteilung der Beschuldigten und die Einziehung eines unrechtmässigen Gewinns im deutschen Strafverfahren kommen nur dann in Betracht, wenn das Vermögen der Y.________ GmbH der SED zuzuordnen ist. Der Bezug der beiden Verwaltungsstreitverfahren zum Strafverfahren ist demnach noch enger als der Bezug der separaten Verfahren zum Strafverfahren in den vom Bundesgericht bisher beurteilten Fällen. Zwar stellen die Verfahren vor dem Oberverwaltungsgericht Berlin rechtlich selbständige Verfahren dar. Faktisch kann man sie aber als Teil des Strafverfahrens betrachten, da den Urteilen des Oberverwaltungsgerichtes Berlin für das Strafverfahren zumindest die Bedeutung einer gutachterlichen Stellungnahme zukommt. Die Beschwerdeführer räumen in ihren Vernehmlassungen an die Vorinstanz vom 10. Januar 2002 selber ein, dass das Ergebnis der Verfahren vor dem Oberverwaltungsgericht Berlin für das Strafverfahren von Bedeutung sein wird. Unter diesen Umständen ist es nicht zu beanstanden, wenn das Bundesamt die Zustimmung zur Verwendung der übermittelten Unterlagen in den beiden Verwaltungsstreitverfahren erteilt hat. Würde über die Vorfrage im Strafverfahren entschieden, dürften sich die deutschen Behörden ohne weiteres auf die übermittelten Unterlagen stützen; das gilt auch dann, wenn in einem besonderen Verfahrensabschnitt ein selbständiger Zwischenentscheid über die Vorfrage getroffen würde. Es wäre widersprüchlich, den deutschen Behörden die Verwendung der Unterlagen zu untersagen, nur weil auf Klage von X.________ bzw. der Y.________ GmbH hin - also ohne dass dies die deutschen Behörden zu vertreten hätten - über die Vorfrage nun in getrennten Verwaltungsstreitverfahren befunden wird. Das Rechtshilfeersuchen der Staatsanwaltschaft Berlin vom 17. September 2001 umschreibt den Gegenstand der Verwaltungsstreitverfahren vor dem Oberverwaltungsgericht Berlin in sachlicher und persönlicher Hinsicht im Übrigen klar. Die angefochtene Verfügung verletzt deshalb kein Bundesrecht.</w:t>
      </w:r>
    </w:p>
    <w:p>
      <w:r>
        <w:rPr>
          <w:b/>
        </w:rPr>
        <w:t>E. 3.3</w:t>
      </w:r>
    </w:p>
    <w:p>
      <w:r>
        <w:t>Die Vorbringen der Beschwerdeführer sind unbehelflich. Der Einwand, die Staatsanwaltschaft Berlin sei zur Stellung des Gesuchs um Weiterverwendung der übermittelten Unterlagen in den Verwaltungsstreitverfahren nicht befugt, ist offensichtlich unbegründet. Wie das Bundesgericht in seinem Urteil vom 20. November 2000 dargelegt hat, ist die Behörde des ersuchenden Staates, die das ursprüngliche Rechtshilfeersuchen gestellt hat, auch berechtigt, Zusatzersuchen nach Art. 67 Abs. 2 IRSG zu stellen (E. 4b). Da die Staatsanwaltschaft Berlin das ursprüngliche Rechtshilfeersuchen gestellt hat, war sie zur Stellung des Gesuchs um Weiterverwendung der Unterlagen in den Verwaltungsstreitverfahren befugt. Die Beschwerdeführer machen geltend, das Strafverfahren in Deutschland sei in missbräuchlicher Weise nur deshalb angehoben worden, weil die deutschen Behörden sich so Informationen für Zivil- bzw. Verwaltungsverfahren beschaffen konnten, die ihnen sonst nicht zugänglich gewesen wären. Der Einwand ist unbehelflich. Die Beschwerdeführer erheben pauschale Vorwürfe gegen die Behörden; sie nennen keine konkreten Anhaltspunkte für eine missbräuchliche Anhebung des deutschen Strafverfahrens. Solche Anhaltspunkte sind auch nicht ersichtlich. Soweit sich die Beschwerdeführer gegen die Untersuchungsführung der Bezirksanwaltschaft in dem in der Schweiz angehobenen Strafverfahren richten, ist darauf nicht einzutreten, weil die Untersuchungsführung der Bezirksanwaltschaft nicht Gegenstand des vorliegenden Verfahrens ist.</w:t>
      </w:r>
    </w:p>
    <w:p>
      <w:r>
        <w:rPr>
          <w:b/>
        </w:rPr>
        <w:t>E. 4</w:t>
      </w:r>
    </w:p>
    <w:p>
      <w:r>
        <w:t>Die Verwaltungsgerichtsbeschwerden sind abzuweisen, soweit darauf eingetreten werden kann. Bei diesem Ausgang der Verfahren tragen die Beschwerdeführer die Kosten ( Art. 156 Abs. 1 OG ). Die Gerichtsgebühren werden für jede der beiden Beschwerden entsprechend den geleisteten Kostenvorschüssen auf Fr. 4'000.-- festgesetzt. Die Beschwerdeführer haften dafür je solidarisch. Vollzugsvorkehrungen hatten bis heute aufgrund der Anordnung des Bundesgerichtes in der Einladung an das Bundesamt zur Vernehmlassung zu unterbleiben. Mit dem vorliegenden Entscheid in der Sache braucht über das Gesuch um aufschiebende Wirkung nicht mehr befunden zu werden. Im Übrigen würde sich die Frage stellen, ob der Beschwerde nicht von Gesetzes wegen aufschiebende Wirkung zukommt (s.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