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1A.89/2006 vom 19. Juli 2006</w:t>
      </w:r>
    </w:p>
    <w:p>
      <w:r>
        <w:t>Bundesgericht, 2006-07-19, DE</w:t>
      </w:r>
    </w:p>
    <w:p>
      <w:r>
        <w:rPr>
          <w:b/>
        </w:rPr>
        <w:t xml:space="preserve">Quelle: </w:t>
      </w:r>
      <w:r>
        <w:t>https://mcp.opencaselaw.ch/entscheid/bger_1A.89_2006</w:t>
      </w:r>
    </w:p>
    <w:p>
      <w:r>
        <w:t>FR: TF 1A.89/2006 du 19 juillet 2006</w:t>
      </w:r>
    </w:p>
    <w:p>
      <w:r>
        <w:t>IT: TF 1A.89/2006 del 19 luglio 2006</w:t>
      </w:r>
    </w:p>
    <w:p>
      <w:pPr>
        <w:pStyle w:val="Heading2"/>
      </w:pPr>
      <w:r>
        <w:t>Regeste</w:t>
      </w:r>
    </w:p>
    <w:p>
      <w:r>
        <w:t>Probenahme und Erstellung eines DNA-Profils; aufschiebende Wirkung; unengelticher Rechtsbeistand | Grundrecht</w:t>
      </w:r>
    </w:p>
    <w:p>
      <w:pPr>
        <w:pStyle w:val="Heading2"/>
      </w:pPr>
      <w:r>
        <w:t>Erwägungen</w:t>
      </w:r>
    </w:p>
    <w:p>
      <w:r>
        <w:rPr>
          <w:b/>
        </w:rPr>
        <w:t>E. 1</w:t>
      </w:r>
    </w:p>
    <w:p>
      <w:r>
        <w:t>Das Bundesgericht prüft von Amtes wegen und mit freier Kognition die Zulässigkeit der bei ihm eingereichten Beschwerden ( BGE 131 I 57 E. 1 S. 59). Im vorliegenden Fall ist insbesondere zu prüfen, mit welchem Rechtsmittel die Anordnung, gemäss dem Bundesgesetz über die Verwendung von DNA-Profilen im Strafverfahren und zur Identifizierung von unbekannten oder vermissten Personen (DNA-Profil-Gesetz, SR 363) eine Probe zu entnehmen und ein DNA-Profil erstellen zu lassen, beim Bundesgericht angefochten werden kann. Der angefochtene Entscheid der Direktion der Justiz und des Innern nennt in der Rechtsmittelbelehrung die Verwaltungsgerichtsbeschwerde. Der Beschwerdeführer erhebt staatsrechtliche Beschwerde, ohne sich mit der ihm erteilten Rechtsmittelbelehrung auseinander zu setzen.</w:t>
      </w:r>
    </w:p>
    <w:p>
      <w:r>
        <w:rPr>
          <w:b/>
        </w:rPr>
        <w:t>E. 2.1</w:t>
      </w:r>
    </w:p>
    <w:p>
      <w:r>
        <w:t>Die (vom Beschwerdeführer erhobene) staatsrechtliche Beschwerde setzt nach Art. 84 Abs. 2 OG voraus, dass die behauptete Rechtsverletzung nicht sonst wie durch Klage oder Rechtsmittel beim Bundesgericht gerügt werden kann. Da sich die umstrittene Massnahme auf das DNA-Profil-Gesetz stützt, ist zu prüfen, ob die Verwaltungsgerichtsbeschwerde zur Verfügung steht (vgl. BGE 128 II 259 E. 1.1 S. 262).</w:t>
      </w:r>
    </w:p>
    <w:p>
      <w:r>
        <w:rPr>
          <w:b/>
        </w:rPr>
        <w:t>E. 2.2</w:t>
      </w:r>
    </w:p>
    <w:p>
      <w:r>
        <w:t>Die Verwaltungsgerichtsbeschwerde nach Art. 97 OG ist - unter Vorbehalt der gesetzlichen Ausnahmen - zulässig gegen Verfügungen, die sich auf öffentliches Recht des Bundes stützen oder hätten stützen müssen. Im vorliegenden Fall kam das DNA-Profil-Gesetz, mithin öffentliches Recht des Bundes, zur Anwendung. Insoweit fällt die Verwaltungsgerichtsbeschwerde in Betracht. Art. 100 Abs. 1 lit. f OG schliesst die Verwaltungsgerichtsbeschwerde gegen Verfügungen auf dem Gebiete der Strafverfolgung aus. Bei der Entnahme von Proben und der Erstellung von DNA-Profilen handelt es sich um Massnahmen der Strafverfolgung (wie auch das Verwaltungsgericht und das Obergericht in den genannten Entscheiden angenommen hatten). Demgegenüber fällt - auch in Bezug auf Strafverfolgungsmassnahmen - gestützt auf die Gegenausnahme gemäss Art. 100 Abs. 2 lit. a OG die Verwaltungsgerichtsbeschwerde in Betracht, wenn es sich um Verfügungen auf dem Gebiet des Datenschutzes handelt. Das Bundesgericht hat in BGE 128 II 259 angenommen, dass bei der Erstellung eines DNA-Profils und dessen Speicherung in der entsprechenden Datenbank wichtige Fragen des Datenschutzes berührt werden, und demnach gestützt auf Art. 100 Abs. 2 lit. a OG die Verwaltungsgerichtsbeschwerde für zulässig erklärt (E. 1.3 S. 264). Daran ist auch im vorliegenden Verfahren festzuhalten. Dem DNA-Profil-Gesetz kommt - neben dem Aspekt der Strafverfolgung und im Vergleich mit andern Strafverfolgungsmassnahmen - ein besonderes datenschutzrechtliches Gewicht zu. Die DNA-Analyse erlaubt eine Identifizierung der betroffenen Person mit an Sicherheit grenzender Wahrscheinlichkeit und die DNA-Profile werden - über ein konkretes Strafverfahren hinaus - über Jahre hinaus aufbewahrt (vgl. Art. 16 DNA-Profil-Gesetz). Das DNA-Profil-Gesetz enthält denn auch einen ausführlichen Abschnitt über den Datenschutz (Art. 15 ff.). Bei dieser Sachlage ist in Übereinstimmung mit BGE 128 II 259 auch im vorliegenden Verfahren die Verwaltungsgerichtsbeschwerde als zulässiges Bundesrechtsmittel zu betrachten. Demnach fällt die vom Beschwerdeführer erhobene staatsrechtliche Beschwerde ausser Betracht ( Art. 84 Abs. 2 OG ). Dieser Umstand gereicht dem Beschwerdeführer indessen nicht zum Nachteil, da seine Beschwerde im Grundsatz als Verwaltungsgerichtsbeschwerde entgegengenommen werden könnte.</w:t>
      </w:r>
    </w:p>
    <w:p>
      <w:r>
        <w:rPr>
          <w:b/>
        </w:rPr>
        <w:t>E. 2.3</w:t>
      </w:r>
    </w:p>
    <w:p>
      <w:r>
        <w:t>Auf Verwaltungsgerichtsbeschwerde hin prüft das Bundesgericht lediglich Entscheide letzter kantonaler Instanzen ( Art. 98 lit. g OG ). Nach Art. 98a Abs. 1 OG bestellen die Kantone insoweit, als die Verwaltungsgerichtsbeschwerde ans Bundesgericht in Betracht fällt, als letzte kantonale Instanz eine richterliche Behörde, für deren Anrufung die Beschwerdelegitimation und die Beschwerdegründe mindestens im gleichen Umfang wie für die Verwaltungsgerichtsbeschwerde ans Bundesgericht zu gewährleisten sind ( Art. 98a Abs. 3 OG ). In entsprechender Weise sieht das auf den 1. Januar 2007 in Kraft gesetzte Bundesgesetz über das Bundesgericht vom 17. Juni 2005 (BGG; AS 2006, 1205) vor, dass die Kantone als letzte kantonale Instanzen obere Gerichte einsetzen (Art. 80 Abs. 2 bzw. Art. 86 Abs. 2 BGG ). An dieser Voraussetzung fehlt es im vorliegenden Fall, wie bereits das Verwaltungsgericht und das Obergericht in den genannten Entscheiden angemerkt haben, da der angefochtene Entscheid von der Direktion der Justiz und des Innern, mithin einer nichtrichterlichen Behörde ausgegangen ist. Damit ist dem Bundesgericht eine materielle Prüfung der vorliegenden Beschwerde verwehrt. Bevor sich das Bundesgericht mit der Sache materiell befassen kann, ist vielmehr eine Prüfung durch ein kantonales Gericht erforderlich.</w:t>
      </w:r>
    </w:p>
    <w:p>
      <w:r>
        <w:rPr>
          <w:b/>
        </w:rPr>
        <w:t>E. 2.4</w:t>
      </w:r>
    </w:p>
    <w:p>
      <w:r>
        <w:t>Damit stellt sich die Frage des weitern Vorgehens. Der Beschwerdeführer hat nach Art. 98a OG Anspruch auf eine Beurteilung durch ein kantonales Gericht. Diese Bestimmung ist auch bei Fehlen entsprechender kantonaler Verfahrensbestimmmungen direkt anwendbar ( BGE 123 II 231 E. 7 S. 236). Demnach ist die vorliegende Beschwerde dem Kanton Zürich zur Gewährung eines gerichtlichen Verfahrens und zur Prüfung der Beschwerde (sowohl in materieller Hinsicht wie auch in Bezug auf die Anträge um vorsorgliche Massnahmen) weiterzuleiten. Dabei fällt eine Überweisung in erster Linie an das Obergericht in Betracht. Falls sich dieses für die Behandlung der Beschwerde - gestützt auf kantonales Organisationsrecht - als unzuständig erklären sollte, wird es seinerseits mit der aus seiner Sicht allenfalls zuständigen gerichtlichen Behörde einen Meinungsaustausch führen bzw. gegebenenfalls das Kompetenzkonfliktverfahren durchführen müssen (vgl. § 194 GVG ; Hauser/Schweri, Kommentar zum zürcherischen Gerichtsverfassungsgesetz, Zürich 2002, Rz. 2 zu § 194; Kölz/Bosshart/ Röhl, Verwaltungsrechtspflegegesetz des Kantons Zürich, 2. Aufl. 1999, Rz. 38 ff. zu § 1 und Rz. 32 ff. zu § 5).</w:t>
      </w:r>
    </w:p>
    <w:p>
      <w:r>
        <w:rPr>
          <w:b/>
        </w:rPr>
        <w:t>E. 3</w:t>
      </w:r>
    </w:p>
    <w:p>
      <w:r>
        <w:t>Demnach ist die vorliegende Beschwerde vom 3. Mai 2006 im Sinne der Erwägungen dem Obergericht zur Behandlung zu überweisen und das Verfahren vor dem Bundesgericht als gegenstandslos abzuschreiben (vgl. Urteil 1P.83/2006 vom 27. März 2006 i.S. X. gegen Verwaltungskommission des Obergerichts des Kantons Zürich, E. 2). Bei diesem Ausgang des Verfahrens sind keine Kosten zu erheben. Dem Antrag um Beigabe eines unentgeltlichen Rechtsbeistandes ist nicht stattzugeben, da in keiner Weise ersichtlich ist, inwiefern Rechtsanwalt Dr. Raess für die vom Beschwerdeführer selbst verfasste Beschwerde tätig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