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1A.83/2002 vom 22. Juli 2002</w:t>
      </w:r>
    </w:p>
    <w:p>
      <w:r>
        <w:t>Bundesgericht, 2002-07-22, DE</w:t>
      </w:r>
    </w:p>
    <w:p>
      <w:r>
        <w:rPr>
          <w:b/>
        </w:rPr>
        <w:t xml:space="preserve">Quelle: </w:t>
      </w:r>
      <w:r>
        <w:t>https://mcp.opencaselaw.ch/entscheid/bger_1A.83_2002</w:t>
      </w:r>
    </w:p>
    <w:p>
      <w:r>
        <w:t>FR: TF 1A.83/2002 du 22 juillet 2002</w:t>
      </w:r>
    </w:p>
    <w:p>
      <w:r>
        <w:t>IT: TF 1A.83/2002 del 22 luglio 2002</w:t>
      </w:r>
    </w:p>
    <w:p>
      <w:pPr>
        <w:pStyle w:val="Heading2"/>
      </w:pPr>
      <w:r>
        <w:t>Regeste</w:t>
      </w:r>
    </w:p>
    <w:p>
      <w:r>
        <w:t>Strafprozess</w:t>
      </w:r>
    </w:p>
    <w:p>
      <w:pPr>
        <w:pStyle w:val="Heading2"/>
      </w:pPr>
      <w:r>
        <w:t>Erwägungen</w:t>
      </w:r>
    </w:p>
    <w:p>
      <w:r>
        <w:rPr>
          <w:b/>
        </w:rPr>
        <w:t>E. 1.1</w:t>
      </w:r>
    </w:p>
    <w:p>
      <w:r>
        <w:t>Angefochten ist ein kantonal letztinstanzlicher Entscheid, der sich auf das Bundesgesetz vom 4. Oktober 1991 über die Hilfe an Opfer von Straftaten (Opferhilfegesetz; OHG; SR 312.5) stützt. Hiergegen steht grundsätzlich die Verwaltungsgerichtsbeschwerde an das Bundesgericht offen (Art. 97 Abs. 1 i.V.m. Art. 5 VwVG ; Art. 98 lit. g OG ). Auf die rechtzeitig erhobene Beschwerde ist daher einzutreten.</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Nicht überprüfen kann es die Frage der Angemessenheit des angefochtenen Entscheides ( Art. 104 lit. c OG ).</w:t>
      </w:r>
    </w:p>
    <w:p>
      <w:r>
        <w:rPr>
          <w:b/>
        </w:rPr>
        <w:t>E. 2</w:t>
      </w:r>
    </w:p>
    <w:p>
      <w:r>
        <w:t>Gemäss Art. 12 Abs. 2 OHG kann dem Opfer unabhängig von seinem Einkommen eine Genugtuung ausgerichtet werden, wenn es schwer betroffen ist und besondere Umstände es rechtfertigen. Im vorliegenden Fall ist unstreitig, dass der Beschwerdeführer Anspruch auf eine Genugtuung hat, umstritten ist nur deren Höhe. Das Opferhilfegesetz enthält keine Bestimmungen über die Bemessung der Genugtuung. Nach der Rechtsprechung des Bundesgerichts sind grundsätzlich die von den Zivilgerichten zu Art. 47 und 49 OR entwickelten Grundsätze sinngemäss heranzuziehen ( BGE 123 II 210 E. b/dd S. 216). Namentlich gewährt die opferrechtliche Genugtuung nicht weitergehende Ansprüche, als das Opfer zivilrechtlich gegen den Täter geltend machen könnte ( BGE 121 II 369 E. 5a S. 376). Dabei ist allerdings zu beachten, dass es sich bei der opferrechtlichen Genugtuung um eine staatliche Hilfeleistung handelt ( BGE 125 II 169 E. 2b S. 173, 554 E. 2a S. 556). Sie erreicht deshalb nicht automatisch die gleiche Höhe wie die zivilrechtliche, sondern kann unter Umständen davon abweichen ( BGE 125 II 169 E. 2b/bb S. 174; Bundesgerichtsentscheide 1A.80/1998 vom 5. März 1999, publ. in BVR 1999 481, E. 3c/cc, und 1A.235/2000 vom 21. Februar 2001 E. 3a; vgl. Klaus Hütte, Genugtuung - eine Einrichtung zwischen Zivilrecht, Strafrecht, Sozialversicherungsrecht und Opferhilfegesetz, in: Collezione Assista, Genf 1998, S. 264 ff., 278 f.). Die Bemessung der Genugtuung ist eine Entscheidung nach Billigkeit, die von einer Würdigung der massgeblichen Kriterien abhängt. Innerhalb gewisser Grenzen sind mehrere angemessene Lösungen möglich ( BGE 123 II 210 E. 2c S. 212 f.). Den kantonalen Behörden steht ein breiter Ermessensspielraum zu, in den das Bundesgericht nur eingreift, wenn die kantonale Instanz ihr Ermessen überschritten oder missbraucht hat ( Art. 104 lit. a OG ). Im Zusammenhang mit der Bemessung einer Genugtuungssumme greift es ein,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unbillig bzw. als in stossender Weise ungerecht erweist ( BGE 125 II 169 E. 2b/bb S. 174; 125 III 412 E. 2a S. 417 f.; 123 III 10 E. 4c/aa S. 13, 306 E. 9b S. 315).</w:t>
      </w:r>
    </w:p>
    <w:p>
      <w:r>
        <w:rPr>
          <w:b/>
        </w:rPr>
        <w:t>E. 3</w:t>
      </w:r>
    </w:p>
    <w:p>
      <w:r>
        <w:t>Der Beschwerdeführer rügt, die Vorinstanzen hätten eine vorbestehende histrionische Persönlichkeitsstörung als genugtuungsmindernden Grund berücksichtigt, obwohl medizinisch nicht erwiesen sei, dass eine derartige Störung bereits vor dem Unfall bestanden habe. Gemäss Gutachten des Zentrums für Medizinische Begutachtung (ZMB) vom 18. Juni 1997 hätten die neurotischen Störungen des Beschwerdeführers ihre Grundlage in seiner Kindheit und Jugend. Die Schilderungen der Kindheit des Beschwerdeführers seien jedoch durchwegs positiv; es sei deshalb rätselhaft, was der Anlass für eine solche Persönlichkeitsstörung hätte sein können. Im neueren psychiatrischen Gutachten Dr. Z.________ vom 30. Mai 2000 werde sogar festgehalten, dass keine Anhaltspunkte für eine histrionische Grundpersönlichkeit gefunden werden konnten.</w:t>
      </w:r>
    </w:p>
    <w:p>
      <w:r>
        <w:rPr>
          <w:b/>
        </w:rPr>
        <w:t>E. 3.1</w:t>
      </w:r>
    </w:p>
    <w:p>
      <w:r>
        <w:t>Diese Ausführungen des Beschwerdeführers stehen im Widerspruch zu seinem Rekurs an das Versicherungsgericht von 20. September 2001. Darin (S. 3/4 Ziff. 4) hatte er die Existenz einer vorbestehenden neurologischen Persönlichkeitsstörung nicht bestritten, sondern lediglich gerügt, dass es "etwas kleinlich" erscheine, dies als genugtuungsminderndes Argument aufzuführen; schenke man einem solchen Detail derartige Beachtung, so müssten auch genugtuungserhöhende "Kleinigkeiten" stärker berücksichtigt werden. Der Beschwerdeführer berief sich in seinem Rekurs selbst auf das Gutachten des ZMB und erwähnte das Gutachten Dr. Z.________ mit keinem Wort. Letzteres befindet sich auch nicht in den vom Versicherungsgericht beigezogenen Akten des JPD. Unter diesen Umständen durfte das Versicherungsgericht davon ausgehen, das Vorbestehen einer neurologischen Persönlichkeitsstörung sei unstreitig und hatte keine Veranlassung, dies näher zu prüfen.</w:t>
      </w:r>
    </w:p>
    <w:p>
      <w:r>
        <w:rPr>
          <w:b/>
        </w:rPr>
        <w:t>E. 3.2</w:t>
      </w:r>
    </w:p>
    <w:p>
      <w:r>
        <w:t>Dann aber kann der Beschwerdeführer diese tatsächliche Feststellung des Versicherungsgerichts vor Bundesgericht nicht mehr in Frage stellen: Neue tatsächliche Vorbringen und Beweismittel sind im Verfahren der Verwaltungsgerichtsbeschwerde gegen den Entscheid einer gerichtlichen Vorinstanz ( Art. 105 Abs. 2 OG ; vgl. oben, E. 1.2) nur zulässig, wenn sie von der Vorinstanz von Amtes wegen hätten erhoben werden müssen und ihre Nichterhebung eine Verletzung wesentlicher Verfahrensvorschriften darstellt ( BGE 121 II 97 E. 1c S. 99 mit Hinweisen; Peter Karlen, in: Thomas Geiser/Peter Münch, Prozessieren vor Bundesgericht, 2. Aufl., Rz 3.67 S. 112). Den Parteien ist es überdies versagt, neue Tatsachen oder Beweismittel vorzubringen, die sie schon vor der Vorinstanz hätten geltend machen können ( BGE 121 II 97 E. 1c S. 100; Nicolas Wisard, Les faits nouveaux en recours de droit administratif au Tribunal fédéral, AJP 1997 1369 ff., insbes. S. 1376).</w:t>
      </w:r>
    </w:p>
    <w:p>
      <w:r>
        <w:rPr>
          <w:b/>
        </w:rPr>
        <w:t>E. 4</w:t>
      </w:r>
    </w:p>
    <w:p>
      <w:r>
        <w:t>Gleiches gilt, soweit der Beschwerdeführer rügt, die Vorinstanzen seien von einem zu niedrigen Invaliditätsgrad von 50% ausgegangen; der IV-Grad des Beschwerdeführers sei mit Verfügung der Sozialversicherungsanstalt St. Gallen vom 20. März 2001 auf 60% angepasst worden. In seinem Rekurs vom 20. September 2001 hatte der anwaltlich vertretene Beschwerdeführer den vom JPD zugrunde gelegten IV-Grad von 50% nicht bestritten. Seinem Rekurs legte er die Verfügungen der SUVA vom 4. Februar 1999 und der Sozialversicherungsanstalt St. Gallen vom 22. Juli 1999 bei, die von einem IV-Grad von 50% ausgehen. Die Verfügung vom 20. März 2001 legte er dem Gericht dagegen nicht vor; sie befindet sich auch nicht in den vom Versicherungsgericht beigezogenen Akten des JPD. Unter diesen Umständen durfte das Versicherungsgericht von den unbestrittenen Feststellungen des JPD ausgehen und musste nicht von Amtes wegen den IV-Grad überprüfen.</w:t>
      </w:r>
    </w:p>
    <w:p>
      <w:r>
        <w:rPr>
          <w:b/>
        </w:rPr>
        <w:t>E. 5</w:t>
      </w:r>
    </w:p>
    <w:p>
      <w:r>
        <w:t>Im Folgenden ist deshalb auf der Grundlage des vom Versicherungsgericht festgestellten Sachverhalts zu prüfen, ob das Versicherungsgericht bei der Bemessung der Genugtuung sein Ermessen überschritten oder missbraucht hat ( Art. 104 lit. a OG ).</w:t>
      </w:r>
    </w:p>
    <w:p>
      <w:r>
        <w:rPr>
          <w:b/>
        </w:rPr>
        <w:t>E. 5.1</w:t>
      </w:r>
    </w:p>
    <w:p>
      <w:r>
        <w:t>Das Versicherungsgericht hat bei seinem Entscheid berücksichtigt, dass der Beschwerdeführer durch die Straftat in seiner körperlichen und psychischen Integrität dauernd beeinträchtigt wurde und noch heute Schmerzen empfindet. Es berücksichtigte auch die schwerwiegenden sozialen Folgen für den Beschwerdeführer: den Verlust der Arbeitsstelle, die fehlenden beruflichen Aussichten, die zeitweise Fürsorgeabhängigkeit, Schwierigkeiten mit Ärzten und dem Ausländeramt. Es stellte ferner in Rechnung, dass die Straftat ein für das Familienleben sehr einschneidendes Erlebnis darstellte und somit für die familiären Probleme des Beschwerdeführers zumindest mitursächlich war. Schliesslich wurde genugtuungserhöhend die besonders rücksichts- und sinnlose Tat sowie die fehlende Reue des Täter berücksichtigt und ein Mitverschulden des Beschwerdeführers verneint. Genugtuungsmindernd fiel dagegen die vorbestehende histrionische Persönlichkeitsstörung ins Gewicht: Die dissoziative Störung des Beschwerdeführers habe ihre Grundlagen in der Kindheit und Jugend des Beschwerdeführers und sei deshalb nur teilweise auf die Straftat zurückzuführen, weshalb sie nicht vollumfänglich bei der Bemessung der Genugtuung zu berücksichtigen sei. Damit hat das Versicherungsgericht alle wesentlichen Bemessungsfaktoren - und nur solche - berücksichtigt. Die von ihm festgesetzte Genugtuung von Fr. 50'000.-- entspricht der doppelten Integritätsentschädigung und trägt somit den im vorliegenden Fall gewichtigen subjektiven Faktoren des Schadens Rechnung. Der angefochtene Entscheid kann auch im Ergebnis, hinsichtlich der ausgesprochenen Genugtuungshöhe, nicht als offensichtlich unbillig bzw. als in stossender Weise ungerecht bezeichnet werden.</w:t>
      </w:r>
    </w:p>
    <w:p>
      <w:r>
        <w:rPr>
          <w:b/>
        </w:rPr>
        <w:t>E. 6</w:t>
      </w:r>
    </w:p>
    <w:p>
      <w:r>
        <w:t>Nach dem Gesagten ist die Beschwerde abzuweisen. Es sind keine Kosten zu erheben ( Art. 16 Abs. 1 OHG ; vgl. BGE 122 II 211 E. 4b S.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