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1A.65/2007 vom 13. November 2007</w:t>
      </w:r>
    </w:p>
    <w:p>
      <w:r>
        <w:t>Bundesgericht, 2007-11-13, FR</w:t>
      </w:r>
    </w:p>
    <w:p>
      <w:r>
        <w:rPr>
          <w:b/>
        </w:rPr>
        <w:t xml:space="preserve">Quelle: </w:t>
      </w:r>
      <w:r>
        <w:t>https://mcp.opencaselaw.ch/entscheid/bger_1A.65_2007</w:t>
      </w:r>
    </w:p>
    <w:p>
      <w:r>
        <w:t>FR: TF 1A.65/2007 du 13 novembre 2007</w:t>
      </w:r>
    </w:p>
    <w:p>
      <w:r>
        <w:t>IT: TF 1A.65/2007 del 13 novembre 2007</w:t>
      </w:r>
    </w:p>
    <w:p>
      <w:pPr>
        <w:pStyle w:val="Heading2"/>
      </w:pPr>
      <w:r>
        <w:t>Erwägungen</w:t>
      </w:r>
    </w:p>
    <w:p>
      <w:r>
        <w:rPr>
          <w:b/>
        </w:rPr>
        <w:t>E. 1</w:t>
      </w:r>
    </w:p>
    <w:p>
      <w:r>
        <w:t>Selon l'art. 37b de la loi fédérale relative au traité conclu avec les Etats-Unis d'Amérique sur l'entraide judiciaire en matière pénale (LTEJUS, RS 351.93), les procédures d'opposition et de recours contre les décisions rendues en première instance avant l'entrée en vigueur de la modification du 17 juin 2005 (laquelle ouvre en particulier le recours devant le Tribunal pénal fédéral; art. 17 LTEJUS ) sont régies par l'ancien droit. Tel est le cas en l'occurrence, la décision d'entrée en matière ayant été rendue par l'Office central le 22 février 2005.</w:t>
      </w:r>
    </w:p>
    <w:p>
      <w:r>
        <w:rPr>
          <w:b/>
        </w:rPr>
        <w:t>E. 1.1</w:t>
      </w:r>
    </w:p>
    <w:p>
      <w:r>
        <w:t>La décision par laquelle l'Office central suisse octroie l'entraide judiciaire en vertu de l' art. 5 al. 2 let. b LTEJUS et rejette une opposition selon l'art. 16 aLTEJUS, peut être attaquée par la voie du recours de droit administratif prévue à l'art. 17 al. 1 aLTEJUS ( ATF 124 II 124 consid. 1b p. 126).</w:t>
      </w:r>
    </w:p>
    <w:p>
      <w:r>
        <w:rPr>
          <w:b/>
        </w:rPr>
        <w:t>E. 1.2</w:t>
      </w:r>
    </w:p>
    <w:p>
      <w:r>
        <w:t>La recourante a qualité pour recourir, au sens de l' art. 80h let. b EIMP , mis en relation avec l' art. 9a let. a OEIMP , contre la transmission de la documentation relative à un compte dont elle est titulaire ( ATF 128 II 211 consid. 2.3 et les arrêts cités).</w:t>
      </w:r>
    </w:p>
    <w:p>
      <w:r>
        <w:rPr>
          <w:b/>
        </w:rPr>
        <w:t>E. 1.3</w:t>
      </w:r>
    </w:p>
    <w:p>
      <w:r>
        <w:t>L'entraide judiciaire entre les Etats-Unis d'Amérique et la Confédération suisse est régie par le Traité conclu dans ce domaine (TEJUS; RS 0.351.933.6) et la loi y relative (LTEJUS). La loi fédérale sur l'entraide internationale en matière pénale (EIMP; RS 351.1) et son ordonnance d'exécution (OEIMP; RS 351.11) demeurent réservées pour des questions qui ne sont pas réglées par le traité et la loi fédérale d'application ( ATF 124 II 124 consid. 1a p. 126), dans la mesure où elles ne rendent pas la coopération internationale plus difficile ( ATF 129 II 462 consid. 1.1 p. 464).</w:t>
      </w:r>
    </w:p>
    <w:p>
      <w:r>
        <w:rPr>
          <w:b/>
        </w:rPr>
        <w:t>E. 1.4</w:t>
      </w:r>
    </w:p>
    <w:p>
      <w:r>
        <w:t>Le Tribunal fédéral examine librement si les conditions pour accorder l'entraide sont remplies et dans quelle mesure la coopération internationale doit être accordée ( ATF 123 II 134 consid. 1d p. 136/ 137), sans avoir toutefois à se prononcer sur la réalité des faits évoqués dans la demande ( ATF 126 II 495 consid. 5e/aa p. 501; 117 Ib 64 consid. 5c p. 88, et les arrêts cités).</w:t>
      </w:r>
    </w:p>
    <w:p>
      <w:r>
        <w:rPr>
          <w:b/>
        </w:rPr>
        <w:t>E. 2</w:t>
      </w:r>
    </w:p>
    <w:p>
      <w:r>
        <w:t>La recourante reprend largement ses motifs d'opposition. Après avoir exposé dans le détail le profil de son ayant droit et ses propres activités, elle invoque l' art. 10 al. 2 TEJUS . Les versements parvenus sur son compte représenteraient des honoraires de consultance, et les sommes seraient demeurées en compte. Les documents bancaires seraient ainsi sans utilité, et l'intérêt au maintien du secret devrait prévaloir. En tant qu'informations à décharge, les renseignements bancaires pourraient faire l'objet d'une simple note explicative de l'Office central.</w:t>
      </w:r>
    </w:p>
    <w:p>
      <w:r>
        <w:rPr>
          <w:b/>
        </w:rPr>
        <w:t>E. 2.1</w:t>
      </w:r>
    </w:p>
    <w:p>
      <w:r>
        <w:t>Selon la jurisprudence relative à l' art. 10 al. 2 TEJUS , un rapport objectif entre la personne et l'infraction suffit pour exclure la qualité de tiers non impliqué, quand bien même la personne n'a pas sciemment collaboré à la commission de l'infraction ( ATF 120 Ib 251 consid. 5b p. 254/255). Ainsi, celui dont le compte bancaire a été approvisionné par des montants de provenance suspecte, ou dont le compte a pu servir à commettre une infraction, n'est pas un tiers non impliqué ( ATF 120 Ib 251 consid. 5b p. 254/255; 107 Ib 252 ).</w:t>
      </w:r>
    </w:p>
    <w:p>
      <w:r>
        <w:rPr>
          <w:b/>
        </w:rPr>
        <w:t>E. 2.2</w:t>
      </w:r>
    </w:p>
    <w:p>
      <w:r>
        <w:t>Ces conditions sont remplies à l'égard du compte de la recourante. Celle-ci a en effet reçu trois versements en provenance de C.________, société expressément visée par la requête pour avoir pris part à des actes de corruption ou à des détournements de fonds. Or, ces trois versements correspondent chaque fois à une partie (25%) des montants versés dans les mois précédents par l'un des membres du consortium. Cela suffit pour justifier l'intérêt des autorités requérantes, sous l'angle tant de l' art. 10 al. 2 TEJUS que du principe de la proportionnalité. Si aucun des versements suspects n'a finalement été utilisé à des fins de détournements ou d'actes de corruption, l'autorité requérante doit être en mesure de le vérifier par elle-même. La documentation bancaire porte au demeurant sur une période limitée, et la recourante se contente d'une opposition de principe, sans alléguer que la révélation de l'une ou l'autre pièce bancaire porterait une atteinte disproportionnée à son domaine secret. La décision attaquée ne prête donc pas le flanc à la critique.</w:t>
      </w:r>
    </w:p>
    <w:p>
      <w:r>
        <w:rPr>
          <w:b/>
        </w:rPr>
        <w:t>E. 3</w:t>
      </w:r>
    </w:p>
    <w:p>
      <w:r>
        <w:t>Le recours de droit administratif doit par conséquent être rejeté, aux frais de la recourante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