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1A.63/2007 vom 28. Februar 2008</w:t>
      </w:r>
    </w:p>
    <w:p>
      <w:r>
        <w:t>Bundesgericht, 2008-02-28, DE</w:t>
      </w:r>
    </w:p>
    <w:p>
      <w:r>
        <w:rPr>
          <w:b/>
        </w:rPr>
        <w:t xml:space="preserve">Quelle: </w:t>
      </w:r>
      <w:r>
        <w:t>https://mcp.opencaselaw.ch/entscheid/bger_1A.63_2007</w:t>
      </w:r>
    </w:p>
    <w:p>
      <w:r>
        <w:t>FR: TF 1A.63/2007 du 28 février 2008</w:t>
      </w:r>
    </w:p>
    <w:p>
      <w:r>
        <w:t>IT: TF 1A.63/2007 del 28 febbraio 2008</w:t>
      </w:r>
    </w:p>
    <w:p>
      <w:pPr>
        <w:pStyle w:val="Heading2"/>
      </w:pPr>
      <w:r>
        <w:t>Erwägungen</w:t>
      </w:r>
    </w:p>
    <w:p>
      <w:r>
        <w:rPr>
          <w:b/>
        </w:rPr>
        <w:t>E. 1.1</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Soweit diese Staatsverträge bestimmte Fragen nicht abschliessend regeln, kommt das schweizerische Landesrecht - namentlich das Bundesgesetz über internationale Rechtshilfe in Strafsachen vom 20. März 1981 (Rechtshilfegesetz, IRSG; SR 351.1) und die dazugehörige Verordnung (IRSV; SR 351.11) - zur Anwendung ( Art. 1 Abs. 1 IRSG ).</w:t>
      </w:r>
    </w:p>
    <w:p>
      <w:r>
        <w:rPr>
          <w:b/>
        </w:rPr>
        <w:t>E. 1.2</w:t>
      </w:r>
    </w:p>
    <w:p>
      <w:r>
        <w:t>Das Rechtshilfegesetz ist mit Bundesgesetz vom 17. Juni 2005, in Kraft seit dem 1. Januar 2007, geändert worden. Die Staatsanwaltschaft hat die Schlussverfügung vor dem 1. Januar 2007 erlassen. Gemäss Art. 110b IRSG richtet sich deshalb das vorliegende Beschwerdeverfahren nach dem bisherigen Recht (Urteil 1C.53/2007 vom 29. März 2007 E. 1.2).</w:t>
      </w:r>
    </w:p>
    <w:p>
      <w:r>
        <w:t>Gegen das angefochtene Urteil ist nach Art. 80f Abs. 1 aIRSG die Verwaltungsgerichtsbeschwerde gegeben.</w:t>
      </w:r>
    </w:p>
    <w:p>
      <w:r>
        <w:t>Die Unterlagen, die an die deutschen Behörden herausgegeben werden sollen, wurden bei der Beschwerdeführerin anlässlich der Hausdurchsuchung beschlagnahmt. Die Beschwerdeführerin ist gemäss Art. 80h lit. b IRSG i.V.m. Art. 9a lit. b IRSV zur Beschwerde befugt.</w:t>
      </w:r>
    </w:p>
    <w:p>
      <w:r>
        <w:t>Die weiteren Sachurteilsvoraussetzungen geben zu keinen Bemerkungen Anlass. Auf die Beschwerde ist grundsätzlich einzutreten.</w:t>
      </w:r>
    </w:p>
    <w:p>
      <w:r>
        <w:rPr>
          <w:b/>
        </w:rPr>
        <w:t>E. 1.3</w:t>
      </w:r>
    </w:p>
    <w:p>
      <w:r>
        <w:t>Die Beschwerdeführerin kann die Verletzung von Bundesrecht (wozu auch das Staatsvertragsrecht gehört), einschliesslich Überschreitung oder Missbrauch des Ermessens, rügen ( Art. 80i Abs. 1 lit. a IRSG ).</w:t>
      </w:r>
    </w:p>
    <w:p>
      <w:r>
        <w:rPr>
          <w:b/>
        </w:rPr>
        <w:t>E. 1.4</w:t>
      </w:r>
    </w:p>
    <w:p>
      <w:r>
        <w:t>Das Bundesgericht ist an die Begehren der Parteien nicht gebunden (Art. 25 Abs. 6 aIRSG). Es prüft die bei ihm erhobenen Rügen grundsätzlich mit freier Kognition. Es ist aber nicht verpflichtet, nach weiteren der Rechtshilfe allenfalls entgegenstehenden Gründen zu forschen, die aus der Beschwerde nicht hervorgehen ( BGE 123 II 134 E. 1d S. 136 f.; 122 II 367 E. 2d S. 372, mit Hinweisen).</w:t>
      </w:r>
    </w:p>
    <w:p>
      <w:r>
        <w:rPr>
          <w:b/>
        </w:rPr>
        <w:t>E. 2</w:t>
      </w:r>
    </w:p>
    <w:p>
      <w:r>
        <w:t>Die Beschwerdeführerin verweist auf die der Beschwerde beigelegte "Niederschrift über eine tatsächliche Verständigung" des Finanzamts Nürnberg-Süd. Die Beschwerdeführerin macht geltend, dieses gebe darin eine völlig andere Sicht der Dinge wieder als im Rechtshilfeersuchen.</w:t>
      </w:r>
    </w:p>
    <w:p>
      <w:r>
        <w:t>Die dem Bundesgericht eingereichte "Niederschrift über eine tatsächliche Verständigung" ist weder datiert noch trägt sie eine Unterschrift. Sie ist damit zum Beweis von vornherein untauglich und die Beschwerdeführerin kann daraus nichts herleiten. Bei dieser Sachlage besteht auch kein Anlass, die Eidgenössische Steuerverwaltung und die Steuerverwaltung des Kantons Zug einzuladen, sich mit Blick auf diese "Niederschrift" zu äussern. Der entsprechende Antrag ist abzuweisen.</w:t>
      </w:r>
    </w:p>
    <w:p>
      <w:r>
        <w:rPr>
          <w:b/>
        </w:rPr>
        <w:t>E. 3</w:t>
      </w:r>
    </w:p>
    <w:p>
      <w:r>
        <w:t>Die Beschwerdeführerin rügt, die Vorinstanz habe den Begriff des Abgabebetruges verkannt. Ein Abgabebetrug sei hier nicht gegeben.</w:t>
      </w:r>
    </w:p>
    <w:p>
      <w:r>
        <w:t>Das Vorbringen ist unbegründet. Die Vorinstanz geht (S. 7 ff. E. 4a) vom zutreffenden Begriff des Abgabebetruges aus und legt (S. 9 f. E. 4b) überzeugend dar, weshalb hier - in Übereinstimmung mit der Eidgenössischen Steuerverwaltung und der Steuerverwaltung des Kantons Zug - Abgabebetrug zu bejahen ist. Auf die Erwägungen der Vorinstanz kann verwiesen werden ( Art. 36a Abs. 3 OG ).</w:t>
      </w:r>
    </w:p>
    <w:p>
      <w:r>
        <w:rPr>
          <w:b/>
        </w:rPr>
        <w:t>E. 4.1</w:t>
      </w:r>
    </w:p>
    <w:p>
      <w:r>
        <w:t>Die Beschwerdeführerin bringt vor, der Spezialitätsvorbehalt könne nicht verhindern, dass die deutschen Steuerbehörden Einsicht in die herauszugebenden Unterlagen erhielten und diese für ein Steuerveranlagungsverfahren verwendeten. Zumindest müssten die Unterlagen vor der Herausgabe mit einem amtlichen Stempel versehen werden, damit man später in Deutschland bei einer Vermischung von Akten feststellen könne, welche rechtshilfeweise übermittelt worden seien.</w:t>
      </w:r>
    </w:p>
    <w:p>
      <w:r>
        <w:rPr>
          <w:b/>
        </w:rPr>
        <w:t>E. 4.2</w:t>
      </w:r>
    </w:p>
    <w:p>
      <w:r>
        <w:t>Die Staatsanwaltschaft hat in der Schlussverfügung (Dispositiv Ziffer 3) gestützt auf den schweizerischen Vorbehalt zu Art. 2 EUeR sowie auf Art. 63 und 67 IRSG den üblichen Spezialitätsvorbehalt angebracht. Dabei hat sie hervorgehoben, dass die Verwendung der übermittelten Unterlagen zulässig ist zur Verfolgung von Abgabebetrug im Sinne des schweizerischen Rechts, die direkte oder indirekte Verwendung der Unterlagen dagegen ansonsten untersagt ist für ein fiskalisches Straf- oder Verwaltungsverfahren.</w:t>
      </w:r>
    </w:p>
    <w:p>
      <w:r>
        <w:t>Der von der Staatsanwaltschaft formulierte Spezialitätsvorbehalt stützt sich auf die Rechtsprechung ( BGE 115 Ib 373 E. 8 S. 376 f.; 107 Ib 264 E. 4 S. 268 ff.). Für seine Präzisierung besteht kein Anlass. Die deutschen Steuerbehörden wissen aufgrund des in der Schlussverfügung formulierten Spezialitätsvorbehalts, dass sie die übermittelten Unterlagen und die darin enthaltenen Informationen, falls sie davon im Rahmen des deutschen Strafverfahrens oder sonst wie Kenntnis erlangen sollten, nicht für ein Steuerveranlagungsverfahren verwenden dürften (vgl. Urteil 1A.33/2003 vom 20. Mai 2003 E. 4.2; Robert Zimmermann, La coopération judiciaire internationale en matière pénale, 2. Aufl., Bern 2004, S. 526 f. N. 486).</w:t>
      </w:r>
    </w:p>
    <w:p>
      <w:r>
        <w:t>Bei Staaten, die - wie Deutschland - mit der Schweiz durch einen Rechtshilfevertrag verbunden sind, wird die Beachtung des Spezialitätsvorbehalts aufgrund des völkerrechtlichen Vertrauensprinzips vermutet ( BGE 115 Ib 373 E. 8 S. 377; 107 Ib 264 E. 4b S. 271 f.). Selbst eine Verletzung des Spezialitätsprinzips in der Vergangenheit führt nicht zur Umstossung der Vermutung ( BGE 110 Ib 392 E. 5c S. 395, mit Hinweis; Zimmermann, a.a.O., S. 525).</w:t>
      </w:r>
    </w:p>
    <w:p>
      <w:r>
        <w:t>Es ist demnach davon auszugehen, dass die deutschen Behörden den Spezialitätsvorbehalt beachten werden. Damit besteht auch für die von der Beschwerdeführerin verlangte Stempelung der herauszugebenden Unterlagen kein Anlass. Die Wirksamkeit einer solchen Stempelung wäre ohnehin fraglich; denn eine Verletzung des Spezialitätsprinzips setzte nicht voraus, dass die übermittelten Unterlagen in Deutschland einem anderen Dossier hinzugefügt und dort mit weiteren Akten vermischt würden. Der entsprechende Antrag der Beschwerdeführerin ist daher abzuweisen.</w:t>
      </w:r>
    </w:p>
    <w:p>
      <w:r>
        <w:t>Die Beschwerde erweist sich danach auch im vorliegenden Punkt als unbegründet.</w:t>
      </w:r>
    </w:p>
    <w:p>
      <w:r>
        <w:rPr>
          <w:b/>
        </w:rPr>
        <w:t>E. 5</w:t>
      </w:r>
    </w:p>
    <w:p>
      <w:r>
        <w:t>Sie ist abzuweisen, soweit darauf eingetreten werden kann.</w:t>
      </w:r>
    </w:p>
    <w:p>
      <w:r>
        <w:t>Bei diesem Ausgang des Verfahrens trägt die Beschwerdeführerin die Kosten ( Art. 156 Abs. 1 OG ). Eine Parteientschädigung steht ihr nicht zu ( Art. 159 Abs. 1 und 2 OG ).</w:t>
      </w:r>
    </w:p>
    <w:p>
      <w:r>
        <w:t>Die Beschwerde hatte von Gesetzes wegen aufschiebende Wirkung ( Art. 21 Abs. 4 lit. b IRSG ). Der entsprechende Antrag war daher überflüssig.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