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1A.60/2005 vom 11. August 2005</w:t>
      </w:r>
    </w:p>
    <w:p>
      <w:r>
        <w:t>Bundesgericht, 2005-08-11, FR</w:t>
      </w:r>
    </w:p>
    <w:p>
      <w:r>
        <w:rPr>
          <w:b/>
        </w:rPr>
        <w:t xml:space="preserve">Quelle: </w:t>
      </w:r>
      <w:r>
        <w:t>https://mcp.opencaselaw.ch/entscheid/bger_1A.60_2005</w:t>
      </w:r>
    </w:p>
    <w:p>
      <w:r>
        <w:t>FR: TF 1A.60/2005 du 11 août 2005</w:t>
      </w:r>
    </w:p>
    <w:p>
      <w:r>
        <w:t>IT: TF 1A.60/2005 del 11 agosto 2005</w:t>
      </w:r>
    </w:p>
    <w:p>
      <w:pPr>
        <w:pStyle w:val="Heading2"/>
      </w:pPr>
      <w:r>
        <w:t>Regeste</w:t>
      </w:r>
    </w:p>
    <w:p>
      <w:r>
        <w:t>gravière; ordre de remise en état | Aménagement du territoire et droit public des constructions</w:t>
      </w:r>
    </w:p>
    <w:p>
      <w:pPr>
        <w:pStyle w:val="Heading2"/>
      </w:pPr>
      <w:r>
        <w:t>Erwägungen</w:t>
      </w:r>
    </w:p>
    <w:p>
      <w:r>
        <w:rPr>
          <w:b/>
        </w:rPr>
        <w:t>E. 1</w:t>
      </w:r>
    </w:p>
    <w:p>
      <w:r>
        <w:t>Le Tribunal fédéral examine d'office et librement la recevabilité des recours dont il est saisi ( ATF 131 I 57 consid. 1 p. 59; 131 II 58 consid. 1 p. 60, 137 consid. 1 p. 140 et les arrêts cités).</w:t>
      </w:r>
    </w:p>
    <w:p>
      <w:r>
        <w:rPr>
          <w:b/>
        </w:rPr>
        <w:t>E. 1.1</w:t>
      </w:r>
    </w:p>
    <w:p>
      <w:r>
        <w:t>Selon les art. 97 al. 1 et 98 let . g OJ, mis en relation avec l' art. 5 PA , la voie du recours de droit administratif est ouverte contre les décisions des autorités cantonales de dernière instance et qui sont fondées sur le droit fédéral pour autant qu'aucune des exceptions prévues aux art. 99 à 102 OJ ou dans la législation spéciale ne soit réalisée ( ATF 131 II 58 consid. 1.1 p. 60 et les arrêts cités). Le recours de droit administratif est aussi recevable contre les décisions cantonales fondées à la fois sur le droit fédéral et sur le droit cantonal dans la mesure où la violation de dispositions du droit fédéral directement applicables est en jeu (cf. art. 104 let. a OJ ; ATF 128 I 46 consid. 1b/aa p. 49; 128 II 56 consid. 1a/aa p. 58, 259 consid. 1.2 p. 262/263 et les arrêts cités). En revanche, c'est la voie du recours de droit public qui est ouverte contre des décisions fondées uniquement sur le droit cantonal et ne présentant aucun rapport de connexité avec l'application du droit fédéral ( ATF 128 I 46 consid. 1b/aa p. 49; 127 II 198 consid. 2a p. 201; 126 II 171 consid. 1a p. 173; 124 II 409 consid. 1d/dd p. 414 et les arrêts cités). Conformément à l' art. 34 al. 1 LAT , le recours de droit administratif est recevable contre les décisions portant sur la reconnaissance de la conformité à l'affectation de la zone de constructions et d'installations sises hors de la zone à bâtir, ou encore sur des demandes de dérogation en vertu des art. 24 à 24d LAT. Ces dispositions se rapportent aux autorisations exceptionnelles de construire hors de la zone à bâtir; elles n'entrent en considération que si l'ouvrage concerné doit se trouver dans une zone non affectée à la construction et n'est pas conforme à la destination de cette zone.</w:t>
      </w:r>
    </w:p>
    <w:p>
      <w:r>
        <w:rPr>
          <w:b/>
        </w:rPr>
        <w:t>E. 1.2</w:t>
      </w:r>
    </w:p>
    <w:p>
      <w:r>
        <w:t>En l'espèce, la contestation porte sur les travaux de remise en état d'une ancienne gravière réalisés de manière non conforme au plan d'extraction et au permis d'exploiter ainsi que sur l'obligation faite à l'exploitante et aux propriétaires des lieux de rétablir l'état antérieur. La base légale de l'ordre de remise en état doit être recherchée dans les dispositions de droit matériel qui ont été violées (Magdalena Ruoss Fierz, Massnahmen gegen illegales Bauen, thèse Zurich 1998, ch. 3.4.1, p. 147). Les parcelles en cause sont classées en zone agricole et viticole protégée. Elles sont également inclues dans le périmètre du plan d'extraction de la gravière "Aux Echelettes 2" adopté le 19 avril 1995. Il s'agit d'une variété particulière de plan d'affectation cantonal selon l'art. 45 al. 2 de la loi vaudoise sur l'aménagement du territoire et les constructions. Un tel plan est exigé pour toutes les gravières qui, en raison de leur dimension et de leur incidence sur la planification locale, ne peuvent être correctement étudiées sur la base de l' art. 24 LAT (art. 6 al. 1 et 2 LCar; ATF 119 Ib 174 consid. 4 p. 178). L'affectation des biens-fonds concernés, telle qu'elle résulte du plan général d'affectation des zones, n'est pas modifiée, mais elle est suspendue temporairement pour en permettre l'exploitation selon les conditions particulières fixées par le plan (cf. arrêt 1A.277/2000 du 16 janvier 2001 paru à la SJ 2001 I p. 269 consid. 4b p. 474; Bulletin des séances du Grand Conseil du canton de Vaud, séance du 17 mai 1988, p. 771). Le plan d'extraction définit notamment l'état final des terrains et les travaux de remise en état ( art. 8 let . m LCar). Lorsque l'exploitation cesse, le propriétaire et l'exploitant font notamment effectuer les travaux nécessaires pour que les lieux soient remis en état conformément aux dispositions du plan d'extraction et du permis d'exploitation (art. 28 al. 1 LCar). Toute modification du plan d'extraction fait l'objet de la même procédure que son adoption (art. 14 LCar). La régularisation des travaux litigieux ne passait donc pas par l'octroi d'une autorisation dérogatoire fondée sur l' art. 24 LAT , mais par la modification du plan d'extraction, suivant la procédure présidant à son adoption, et par la délivrance d'un permis d'exploiter complémentaire. De plus, le Tribunal administratif a ordonné le rétablissement de l'état antérieur non pas parce que les travaux de remise en état violaient une disposition de droit fédéral directement applicable, mais parce qu'ils n'étaient pas conformes aux profils définis dans le plan d'extraction. Il s'est fondé en cela sur l'art. 20 al. 1 LCar qui permet au Département d'ordonner en tout temps au propriétaire et à l'exploitant de prendre les mesures nécessaires pour assurer le respect de la loi, du plan d'extraction ou du permis d'exploiter. L'ordre de remise en état des lieux se fonde ainsi exclusivement sur le droit cantonal. Dans ces conditions, seul le recours de droit public est recevable. La cour cantonale a toutefois relevé, par surabondance, que les travaux litigieux ne pouvaient pas être autorisés en application des art. 22 et 24 LAT . Cette question ressortit en principe au droit fédéral et peut faire l'objet d'un recours de droit administratif (cf. art. 34 al. 1 LAT ; ATF 116 Ib 169 consid. 1 p. 171). L'arrêt attaqué repose ainsi sur une double motivation, l'une fondée sur le droit cantonal autonome et l'autre sur le droit fédéral. En pareil cas, les deux motivations doivent être attaquées selon les formes prescrites, ce que les recourants ont fait en interjetant un recours de droit administratif, pour contester l'application faite en l'occurrence de l' art. 24 LAT , et un recours de droit public, pour se plaindre de l'application prétendument arbitraire du droit cantonal ( ATF 105 Ib 221 consid. 2c p. 224). A cet égard, les exigences de motivation découlant de la jurisprudence sont satisfaites.</w:t>
      </w:r>
    </w:p>
    <w:p>
      <w:r>
        <w:rPr>
          <w:b/>
        </w:rPr>
        <w:t>E. 1.3</w:t>
      </w:r>
    </w:p>
    <w:p>
      <w:r>
        <w:t>Dans sa motivation principale, le Tribunal administratif a estimé que les travaux de remise en état des lieux n'étaient pas conformes au plan d'extraction et au permis d'exploiter et que leur régularisation était exclue. Il a annulé la décision du Département, qui renonçait à exiger le rétablissement de l'état antérieur, et lui a renvoyé le dossier pour nouvelle décision au sens des considérants. L'arrêt attaqué s'analyse ainsi comme une décision de cassation avec renvoi. Or, selon la jurisprudence rendue en application de l' art. 87 OJ , le prononcé par lequel une autorité cantonale de recours renvoie une affaire pour nouvelle décision à une autorité qui a statué en première instance ou à une autre autorité est en principe de nature incidente, alors même qu'il tranche définitivement certains points de droit. Une telle décision est toutefois tenue pour finale lorsque le renvoi a lieu uniquement en vue de son exécution par l'autorité inférieure sans que celle-ci ne dispose encore d'une liberté d'appréciation notable ( ATF 129 I 313 consid. 3.2 p. 317 et les arrêts cités). En l'occurrence, selon les considérants de l'arrêt attaqué, la cour cantonale a renvoyé la cause au Département pour qu'il ordonne une remise en état des parcelles nos 1721 et 1725 (partielle) conforme au profil qui existait vraisemblablement avant leur exploitation; elle l'invitait à retenir l'hypothèse la plus favorable à l'exploitante, dans le cas où ce profil ne pourrait plus être déterminé avec certitude. Si le principe de la remise en état des lieux est définitivement acquis, l'ampleur de celle-ci doit encore être déterminée en fonction de l'état antérieur que la cour cantonale n'a pas pu établir malgré les mesures d'instruction ordonnées. Le Département conserve ainsi une marge de manoeuvre suffisamment importante sur ce point pour lui reconnaître plus qu'un rôle d'exécutant et la nouvelle décision à prendre pourrait ne satisfaire ni l'exploitante des lieux, ni les propriétaires concernés, ni les propriétaires voisins. Le renvoi de la cause n'entraîne pour les recourants aucun préjudice irréparable au sens de l' art. 87 al. 2 OJ . Le recours de droit public est donc irrecevable.</w:t>
      </w:r>
    </w:p>
    <w:p>
      <w:r>
        <w:rPr>
          <w:b/>
        </w:rPr>
        <w:t>E. 1.4</w:t>
      </w:r>
    </w:p>
    <w:p>
      <w:r>
        <w:t>Les recourants s'en prennent également, dans leur recours de droit administratif, à la motivation subsidiaire de l'arrêt du Tribunal administratif en dénonçant l'application faite en l'occurrence des art. 22 et 24 LAT . A supposer que le grief soit fondé, le Tribunal fédéral ne pourrait pas annuler cet arrêt, faute de pouvoir se prononcer sur le bien-fondé de la motivation principale. Dans ces conditions, les recourants ne peuvent pas se prévaloir d'un intérêt pratique digne de protection à faire constater que l' art. 24 LAT aurait été appliqué à tort, voire de manière erronée. Leur recours de droit administratif doit donc être aussi déclaré irrecevable ( ATF 130 V 514 consid. 3.1 p. 515 et les arrêts cités).</w:t>
      </w:r>
    </w:p>
    <w:p>
      <w:r>
        <w:rPr>
          <w:b/>
        </w:rPr>
        <w:t>E. 2</w:t>
      </w:r>
    </w:p>
    <w:p>
      <w:r>
        <w:t>Vu l'issue du litige, l'émolument judiciaire doit être mis à la charge des recourants, qui succombent ( art. 156 al. 1 OJ ). Ces derniers verseront en outre une indemnité de dépens à l'intimé qui obtient gain de cause avec l'assistance d'un avocat ( art. 159 al. 1 OJ ). La Municipalité de Gland, qui s'en est remise à justice, ne saurait en revanche prétendre à des dépens; au demeurant, en raison de sa taille, elle est censée disposer d'une infrastructure administrative et juridique suffisante pour lui permettre de procéder en justice sans l'assistance d'un mandataire extérieur (cf. Jean-François Poudret, Commentaire de la loi fédérale d'organisation judiciaire, vol. V, Berne 1992, n. 3 ad art. 159).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