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1A.58/2000 vom 12. April 2000</w:t>
      </w:r>
    </w:p>
    <w:p>
      <w:r>
        <w:t>Bundesgericht, 2000-04-12, FR</w:t>
      </w:r>
    </w:p>
    <w:p>
      <w:r>
        <w:rPr>
          <w:b/>
        </w:rPr>
        <w:t xml:space="preserve">Quelle: </w:t>
      </w:r>
      <w:r>
        <w:t>https://mcp.opencaselaw.ch/entscheid/bger_1A.58_2000</w:t>
      </w:r>
    </w:p>
    <w:p>
      <w:r>
        <w:t>FR: TF 1A.58/2000 du 12 avril 2000</w:t>
      </w:r>
    </w:p>
    <w:p>
      <w:r>
        <w:t>IT: TF 1A.58/2000 del 12 aprile 2000</w:t>
      </w:r>
    </w:p>
    <w:p>
      <w:pPr>
        <w:pStyle w:val="Heading2"/>
      </w:pPr>
      <w:r>
        <w:t>Regeste</w:t>
      </w:r>
    </w:p>
    <w:p>
      <w:r>
        <w:t>Entraide et extradition</w:t>
      </w:r>
    </w:p>
    <w:p>
      <w:pPr>
        <w:pStyle w:val="Heading2"/>
      </w:pPr>
      <w:r>
        <w:t>Erwägungen</w:t>
      </w:r>
    </w:p>
    <w:p>
      <w:r>
        <w:rPr>
          <w:b/>
        </w:rPr>
        <w:t>E. 1</w:t>
      </w:r>
    </w:p>
    <w:p>
      <w:r>
        <w:t>a) Le recours de droit administratif est formé en temps utile contre une décision de clôture confirmée par l'autorité cantonale de dernière instance (art. 80f al. 1 de la loi fédérale sur l'entraide internationale en matière pénale - EIMP, RS 351. 1). b) Le recourant, titulaire d'un compte dont le juge d'instruction envisage de transmettre la documentation d'ouverture, a qualité pour agir ( art. 80h let. b EIMP , 9a let. a OEIMP), quand bien même la transmission ne porte que sur les documents d'ouverture, à l'exclusion des relevés. Il ne peut en revanche s'opposer à la transmission des dépositions de témoins que dans la mesure où les renseignements qu'elles contiennent équivalent à la transmission de documents bancaires relatifs à son compte ( ATF 124 II 180 consid. 2 p. 182). En l'espèce, A.________ et L.________ se sont exprimés sur la situation et les activités générales de C.________; le recourant n'a pas qualité pour agir sur ce point. La déposition de A.________ contient toutefois des indications précises concernant le recourant puisqu'il en ressort clairement qu'il est titulaire des rubriques X.________ auprès de C.________ Genève et Gibraltar (déclaration A.________, p. 4, n° 26 et 27 de la première liste de référence, p. 5 n° 23 à 25 de la seconde liste). Le recourant a qualité pour s'opposer à la remise de ces renseignements. La déclaration de L.________ ne contient en revanche rien qui puisse porter préjudice au recourant, puisque le témoin a simplement déclaré que les n° 23 à 25 de la seconde liste correspondaient à la même personne, sans en donner l'identité. La qualité pour recourir doit lui être déniée sur ce point. Quant au rapport de police du 3 novembre 1998, il résume les déclarations de A.________ et L.________, sans donner d'indications concernant le recourant. Le recours est donc aussi irrecevable à ce sujet. c) Il n'y a pas lieu de donner suite aux conclusions préalables du recourant, tendant à ce que l'AFC se prononce à nouveau sur l'existence d'une escroquerie fiscale, et à ce que l'autorité étrangère précise ses soupçons. En effet, il peut être statué en l'état du dossier.</w:t>
      </w:r>
    </w:p>
    <w:p>
      <w:r>
        <w:rPr>
          <w:b/>
        </w:rPr>
        <w:t>E. 2</w:t>
      </w:r>
    </w:p>
    <w:p>
      <w:r>
        <w:t>Le recourant reprend l'argumentation soumise à la cour cantonale. Il soutient que la demande d'entraide serait incompréhensible. Elle mêlerait les infractions de fraude fiscale et de délits d'initiés sans donner, s'agissant de ces derniers, aucun détail. Le recourant conteste ensuite l'existence d'une escroquerie fiscale: la demande ne fait pas état de l'usage de faux documents, mais seulement de l'usage de comptes globaux. Or, aucune des sociétés mentionnée ne serait un paravent: elles se livreraient réellement à des activités de fiduciaire, et l'usage de comptes globaux en Allemagne serait connu des autorités et totalement régulier. Les quittances en blanc n'auraient été utilisées que dans de rares cas, ne concernant pas le recourant, et les retraits en espèce ne constitueraient pas une tromperie. On ne verrait pas, en définitive, en quoi consisterait l'astuce constitutive d'escroquerie, et on serait en présence d'une simple soustraction d'impôt, comme l'indiquerait la référence à l'art. 370 al. 1 et 4 du code fiscal allemand, mentionné par l'autorité requérante (alors que l'escroquerie fiscale est visée à l'al. 3 de cette disposition). Le recourant soutient enfin que la demande serait investigatoire, car les soupçons dont il est fait état ne reposeraient sur rien, en particulier à l'égard du recourant dont le nom n'apparaît nulle part. a) 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Lorsque l'acte poursuivi est une escroquerie fiscale, la jurisprudence n'exige pas non plus une preuve stricte de l'état de fait; il suffit qu'existent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 p. 78). Dans tous les cas, l'autorité requérante n'a pas à prouver les faits qu'elle avance. b) Selon l' art. 3 al. 3 EIMP , la demande d'entraide est irrecevable si la procédure étrangère vise un acte qui paraît tendre à diminuer les recettes fiscales. L'entraide peut en revanche être accordée pour la répression d'une escroquerie fiscale. L'EIMP ne définit pas cette notion, mais l' art. 24 al. 1 OEIMP renvoie à l'art. 14 al. 2 de la loi fédérale sur le droit pénal administratif (DPA; RS 313). Cette disposition réprime celui qui, par une tromperie astucieuse, aura soustrait un montant important représentant une contribution. Il convient en outre de s'en tenir à la définition de l'escroquerie selon l'actuel art. 146 CP , et à la jurisprudence qui s'y rapporte. Il y a ainsi escroquerie à l'impôt lorsque le contribuable obtient une taxation injustement favorable, en recourant à des manoeuvres frauduleuses tendant à faire naître une vision faussée de la réalité. Si la remise, à l'autorité fiscale, de titres inexacts ou incomplets constitue toujours une escroquerie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la victime de les contrôler, prévoit qu'un tel contrôle ne pourrait se faire sans grand peine ou mise sur un rapport de confiance (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non publié du 7 juillet 1998 dans la cause M., consid. 3). L'escroquerie fiscale se qualifie selon le droit suisse uniquement; il est donc indifférent que les agissements décrits constituent, selon le droit de l'Etat requérant, une escroquerie qualifiée ou une simple fraude fiscale. Les arguments du recourant sur ce point sont donc sans portée. c) En l'espèce, l'autorité requérante expose que C.________ serait spécialisée dans le commerce de titres et valeurs; elle agirait fiduciairement pour ses clients. Elle aurait réalisé d'importants bénéfices grâce à des délits d'initiés. On cherche toutefois en vain une quelconque indication quant à ces délits. Les clients disposaient d'un compte de référence auprès de C.________, et cette société possédait des comptes globaux auprès d'établissements bancaires en Allemagne, préservant ainsi l'anonymat des investisseurs. C.________ (Gibraltar) aurait été créée en 1990, pour effectuer de semblables opérations, ainsi que pour éviter le paiement des droits de timbre en Suisse. La demande mentionne les différentes références de clients, qui se recoupent pour partie entre les sociétés de Genève et de Gibraltar. De très importants mouvements de fonds auraient eu lieu entre les deux sociétés, soit plus de 100 millions de marks de 1990 à 1992. A.________ disposait de complicités au sein même des banques impliquées, soit en particulier de R.________, employé au B.________, qui détenait des quittances en blanc signées par A.________ pour permettre des retraits en son absence. Les échanges d'espèces avaient lieu à Francfort, à la bourse ou dans un hôtel. Les mouvements de fonds et les bénéfices réalisés auraient ainsi été occultés aux autorités fiscales allemandes, ainsi qu'aux autorités de surveillance bancaires et boursières. La demande mentionne enfin un cas d'escroquerie commise par M.________, qui aurait remis des tableaux à un établissement de Zurich en garantie d'un prêt, alors que les tableaux étaient sous réserve de propriété. A.________ aurait partiellement financé l'achat des tableaux. d) Le 7 avril 1998, l'AFC a produit un avis selon lequel y aurait un soupçon suffisant d'escroquerie fiscale. Il n'était pas fait état d'usage de faux documents. L'astuce ne serait toutefois pas exclue, compte tenu du rôle d'intermédiaire actif tenu en Allemagne par A.________, lequel ne se contentait pas de recevoir passivement les fonds en Suisse. e) Cette dernière opinion ne peut être partagée. On ne voit pas en effet, sur le vu de l'exposé de l'autorité requérante, en quoi consisterait la tromperie astucieuse. Comme le relève la cour cantonale, il n'est pas fait mention de l'usage de documents faux ou falsifiés. Les quittances signées en blanc par A.________ n'en sont pas moins des documents authentiques. L'identité de certains opérateurs a été effacée sur certains justificatifs, mais cela ne pouvait avoir un effet de tromperie puisque le caviardage était évident. Comme le relèvent les recourants, le simple fait de recourir à un compte global, détenu par une société fiduciaire, et d'y effectuer des opérations pour le compte d'investisseurs anonymes, ne saurait constituer un échafaudage particulièrement sophistiqué et, partant, une tromperie astucieuse (cf. arrêt non publié précité du 7 juillet 1998). En définitive, on ne se trouve pas en présence d'un édifice de mensonges qui ne pourrait être découvert qu'au prix d'efforts particuliers. Les personnes poursuivies semblent certes avoir bénéficié de complicités à l'intérieur des établissements bancaires, permettant aux investisseurs de demeurer anonyme. Il n'est toutefois fait nulle mention d'un comportement particulièrement astucieux, ni même de falsifications de documents internes à la banque. Certes, A.________ ne s'est pas contenté de recevoir les fonds en Suisse, mais a aussi eu un rôle actif en Allemagne; on ne peut toutefois en déduire une astuce particulière à l'égard du fisc allemand, puisque son activité se limitait apparemment à des retraits en espèce ou à des virements postaux. Quant à l'escroquerie commise par M.________ aux dépens d'un établissement zurichois, la demande se borne à affirmer que des tableaux auraient été donnés en garantie d'un prêt alors que, contrairement aux affirmations de l'inculpé, il étaient sous réserve de propriété. Sur ce point également, il n'est pas fait état de l'usage de faux documents, ou d'un stratagème particulier qui pourrait correspondre à une escroquerie. Par conséquent, s'il y a certainement eu fraude fiscale de la part des personnes mises en cause, les agissements décrits dans la demande d'entraide ne peuvent être qualifiés d'escroquerie fiscale. L'entraide doit, par conséquent, être refusée, en ce qui concerne le recourant, en application des art. 2 let. a CEEJ et 3 al. 3 EIMP.</w:t>
      </w:r>
    </w:p>
    <w:p>
      <w:r>
        <w:rPr>
          <w:b/>
        </w:rPr>
        <w:t>E. 3</w:t>
      </w:r>
    </w:p>
    <w:p>
      <w:r>
        <w:t>Sur le vu de ce qui précède, le recours de droit administratif doit être admis, dans le mesure où il est recevable. L'ordonnance attaquée doit par conséquent être annulée dans la mesure où elle autorise la transmission des documents relatifs au compte aaa "X.________" auprès de C.________ Gibraltar, ainsi que du procès-verbal d'audition de A.________, dans la mesure où il est fait mention de l'identité du recourant en tant que titulaire du compte. Les ch. 26-27, page 4 de cette déclaration et 23-25, page 5, doivent par conséquent être caviardés. Le recourant, qui obtient partiellement gain de cause, a droit à l'allocation de dépens, à la charge du canton de Genève.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