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1A.57/2001 vom 21. August 2001</w:t>
      </w:r>
    </w:p>
    <w:p>
      <w:r>
        <w:t>Bundesgericht, 2001-08-21, DE</w:t>
      </w:r>
    </w:p>
    <w:p>
      <w:r>
        <w:rPr>
          <w:b/>
        </w:rPr>
        <w:t xml:space="preserve">Quelle: </w:t>
      </w:r>
      <w:r>
        <w:t>https://mcp.opencaselaw.ch/entscheid/bger_1A.57_2001</w:t>
      </w:r>
    </w:p>
    <w:p>
      <w:r>
        <w:t>FR: TF 1A.57/2001 du 21 août 2001</w:t>
      </w:r>
    </w:p>
    <w:p>
      <w:r>
        <w:t>IT: TF 1A.57/2001 del 21 agosto 2001</w:t>
      </w:r>
    </w:p>
    <w:p>
      <w:pPr>
        <w:pStyle w:val="Heading2"/>
      </w:pPr>
      <w:r>
        <w:t>Regeste</w:t>
      </w:r>
    </w:p>
    <w:p>
      <w:r>
        <w:t>Raumplanung und öffentliches Baurecht</w:t>
      </w:r>
    </w:p>
    <w:p>
      <w:pPr>
        <w:pStyle w:val="Heading2"/>
      </w:pPr>
      <w:r>
        <w:t>Erwägungen</w:t>
      </w:r>
    </w:p>
    <w:p>
      <w:r>
        <w:rPr>
          <w:b/>
        </w:rPr>
        <w:t>E. 1</w:t>
      </w:r>
    </w:p>
    <w:p>
      <w:r>
        <w:t>Das Verwaltungsgericht des Kantons Zürich hat in seinem Urteil vom 6. April 2001 Vormerk genommen, dass sich die Beschwerdegegnerin Dispositiv Ziff. I.B.1.z.cc des BSB 448/97 unterzogen hat. Dieses Urteil ist in Rechtskraft erwachsen. Damit steht fest, dass die von der städtischen Bausektion bewilligte und vom Beschwerdeführer seinerzeit akzeptierte Zahl von insgesamt 643 Parkplätzen wiederum Geltung hat. Die Festsetzung der Zahl der für die Überbauung "Y.________" zu bewilligenden Parkplätze bildete letztlich auch Anlass für das vorliegende Verfahren (vgl. Beschwerde Ziff. 1.3). Die Beschwerdegegnerin hat ausdrücklich bestätigt, dass sie nach dem rechtskräftigen Entscheid des Verwaltungsgerichts ein neues Baubewilligungsverfahren anstrengen würde und müsste, wenn sie allenfalls doch noch eine höhere Anzahl Parkplätze realisieren möchte. Die Parteien sind sich denn auch einig, dass mit dem Urteil des Verwaltungsgerichts vom 6. April 2001 zugleich die Grundlage des vorliegenden bundesgerichtlichen Verfahrens dahingefallen ist. Damit ist die Verwaltungsgerichtsbeschwerde als gegenstandslos geworden am Geschäftsverzeichnis abzuschreiben.</w:t>
      </w:r>
    </w:p>
    <w:p>
      <w:r>
        <w:rPr>
          <w:b/>
        </w:rPr>
        <w:t>E. 2</w:t>
      </w:r>
    </w:p>
    <w:p>
      <w:r>
        <w:t>a) Wird ein Rechtsstreit gegenstandslos oder fällt er mangels rechtlichen Interesses dahin, entscheidet das Bundesgericht mit summarischer Begründung über die Prozesskosten aufgrund der Sachlage vor Eintritt des Erledigungsgrundes ( Art. 40 OG in Verbindung mit Art. 72 BZP ). Bei der Beurteilung der Kosten- und Entschädigungsfolgen ist somit in erster Linie auf den mutmasslichen Ausgang des Prozesses abzustellen. Praxisgemäss geht es dabei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allgemeine prozessrechtliche Kriterien zurückzugreifen. Danach wird in erster Linie jene Partei kosten- und entschädigungspflichtig, die das gegenstandslos gewordene Verfahren veranlasst oder bei der die Gründe eingetreten sind, die zur Gegenstandslosigkeit des Verfahrens geführt haben (vgl. BGE 118 Ia 488 E. 4a S. 494). b) aa) Streitgegenstand im Verfahren vor Bundesgericht bildet die von Verwaltungsgericht und Regierungsrat verneinte Frage, ob der Beschwerdeführer seinen Rekurs gegen den BSB 807/00 nach Ablauf der dreissigtägigen Rechtsmittelfrist (vgl. § 22 Abs. 1 des kantonalen Verwaltungsrechtspflegegesetzes) eingereicht hat. Der Beschluss der Bausektion wurde dem Verein X.________ am 31. Juli 2000 zugestellt. Die Rekursschrift datiert vom 30. August 2000, dem letzten Tag der Rechtsmittelfrist. Der Briefumschlag trägt demgegenüber den Poststempel vom 31. August 2000. Der Eingabe war eine Notiz des Rechtsvertreters des Beschwerdeführers beigeheftet, wonach er die Rechtsschrift am 30. August 2000 um 23.45 Uhr in einen Briefkasten der Sihlpost eingeworfen habe. Der Rechtsvertreter reichte zudem eine schriftliche Erklärung einer Anwaltskollegin zu den Akten, worin diese den geschilderten Sachverhalt bestätigte. Dessen ungeachtet stellten die kantonalen Instanzen auf das Datum des Poststempels ab und gelangten so zum Schluss, dass das Rechtsmittel verspätet eingereicht worden sei; die vom Beschwerdeführer offerierte Zeugeneinvernahme der Anwaltskollegin seines Rechtsvertreters führten sie nicht durch. Dieses Vorgehen war nach Auffassung des Beschwerdeführers willkürlich und verletzte seinen Anspruch auf rechtliches Gehör. bb) Vorliegend spricht einiges dafür, dass die Beschwerde gutzuheissen wäre. Für die Richtigkeit der Vorbringen des Beschwerdeführers sprechen sowohl die bei den Akten liegenden Briefumschläge, die offenbar am 9. November 2000 kurz vor Mitternacht der Post übergeben, aber dennoch mit dem Stempel des Folgetages versehen wurden, als auch die schriftliche Bestätigung einer Anwältin, dass der fragliche Rekurs tatsächlich am 30. August 2000 kurz vor Mitternacht der schweizerischen Post übergeben worden sei. Der Ausgang des Verfahrens lässt sich aufgrund einer summarischen Prüfung aber nicht ohne weiteres feststellen, weshalb die oben dargelegten allgemeinen prozessrechtlichen Kriterien heranzuziehen sind. Es steht fest, dass einerseits Anhaltspunkte für ein Obsiegen des Beschwerdeführers bestehen, anderseits die Beschwerdegegnerin die Gründe gesetzt hat, die zur Gegenstandslosigkeit des Verfahrens geführt haben. Unter diesen Umständen ist es gerechtfertigt, von der Auferlegung von Gerichtskosten und dem Zuspruch von Parteientschädigungen abzusehen. c) Was den Entscheid über die Kosten und Parteientschädigungen im kantonalen Verfahren anbelangt, so könnte das Bundesgericht diesen nur abändern, wenn es auch den Entscheid in der Sache selbst ändern würde ( Art. 157 und 159 Abs. 6 OG ; vgl. BGE 91 II 146 E. 3 S. 150). Dies trifft hier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