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1A.54/2003 vom 19. August 2003</w:t>
      </w:r>
    </w:p>
    <w:p>
      <w:r>
        <w:t>Bundesgericht, 2003-08-19, FR</w:t>
      </w:r>
    </w:p>
    <w:p>
      <w:r>
        <w:rPr>
          <w:b/>
        </w:rPr>
        <w:t xml:space="preserve">Quelle: </w:t>
      </w:r>
      <w:r>
        <w:t>https://mcp.opencaselaw.ch/entscheid/bger_1A.54_2003</w:t>
      </w:r>
    </w:p>
    <w:p>
      <w:r>
        <w:t>FR: TF 1A.54/2003 du 19 août 2003</w:t>
      </w:r>
    </w:p>
    <w:p>
      <w:r>
        <w:t>IT: TF 1A.54/2003 del 19 agosto 2003</w:t>
      </w:r>
    </w:p>
    <w:p>
      <w:pPr>
        <w:pStyle w:val="Heading2"/>
      </w:pPr>
      <w:r>
        <w:t>Regeste</w:t>
      </w:r>
    </w:p>
    <w:p>
      <w:r>
        <w:t>Procédure pénale</w:t>
      </w:r>
    </w:p>
    <w:p>
      <w:pPr>
        <w:pStyle w:val="Heading2"/>
      </w:pPr>
      <w:r>
        <w:t>Erwägungen</w:t>
      </w:r>
    </w:p>
    <w:p>
      <w:r>
        <w:rPr>
          <w:b/>
        </w:rPr>
        <w:t>E. 1</w:t>
      </w:r>
    </w:p>
    <w:p>
      <w:r>
        <w:t>Le recours de droit administratif est recevable contre les décisions cantonales de dernière instance fondées sur la loi fédérale en matière d'aide aux victimes d'infractions (ci-après: la loi fédérale ou LAVI; RS 312.5), concernant les demandes de réparation du dommage ou de réparation morale ( ATF 126 II 237 consid. 1a p. 239).</w:t>
      </w:r>
    </w:p>
    <w:p>
      <w:r>
        <w:rPr>
          <w:b/>
        </w:rPr>
        <w:t>E. 2</w:t>
      </w:r>
    </w:p>
    <w:p>
      <w:r>
        <w:t>Aux termes des art. 2 al. 1 et 11 al. 1 LAVI, la personne qui est victime d'une infraction pénale et subit, de ce fait, une atteinte directe à son intégrité corporelle, sexuelle ou psychique, peut demander une indemnisation ou une réparation morale dans le canton où l'infraction a été commise. L' art. 16 al. 3 LAVI exige que la victime introduise ses demandes dans un délai de deux ans à compter de la date de l'infraction; à défaut, ses prétentions sont périmées. Dans la présente affaire, la qualité de victime de la recourante, au sens de ces dispositions, n'est pas douteuse. Le litige porte sur l'application de l'art. 16 al. 3 précité, relatif au délai de péremption. Selon la jurisprudence, ce délai très bref, qui n'est susceptible d'aucune suspension ni prolongation, n'est opposable à une demande d'indemnisation ou de réparation morale que si la victime était effectivement en possession des moyens nécessaires à l'exercice efficace de ses droits. Sur ce point, on attribue une importance décisive au devoir de la police de signaler à la victime, lors de sa première audition, l'existence des centres de consultation chargés, notamment, de fournir des informations sur l'aide aux victimes et de les assister dans leurs démarches juridiques ( art. 3 et 6 al. 1 LAVI ). Dans le système de la loi, cette obligation d'informer la victime compense la rigueur du délai. En principe, la péremption ne peut donc pas faire échec à une demande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 ATF 123 II 241 ; arrêt 1A.217/1997 du 8 décembre 1997, publié in Plädoyer 1998 1 p. 64, consid. 5 p. 65). Une solution analogue, à l'issue d'un examen fondé sur les mêmes critères, doit être appliquée dans le cas où, sans que l'information légale n'ait été omise, les conséquences de l'infraction ne sont devenues reconnaissables par la victime qu'après l'expiration du délai ( ATF 126 II 348 ). Le Tribunal fédéral a aussi jugé que si la victime ne dispose pas à temps de tous les éléments nécessaires pour spécifier entièrement l'objet et les motifs de sa demande d'indemnisation, tels que, en particulier, le montant auquel elle prétend, elle doit néanmoins saisir l'autorité avant l'échéance de la péremption, et lui exposer les faits avec la précision que l'on peut de bonne foi attendre d'elle à ce moment ( ATF 126 II 93 consid. 2 et 3).</w:t>
      </w:r>
    </w:p>
    <w:p>
      <w:r>
        <w:rPr>
          <w:b/>
        </w:rPr>
        <w:t>E. 3</w:t>
      </w:r>
    </w:p>
    <w:p>
      <w:r>
        <w:t>Pour revendiquer le droit à un délai supplémentaire d'une année dès l'information reçue tardivement, la recourante se réfère surtout à diverses dispositions de droit fédéral relatives à la prescription ou à la péremption, dispositions prévoyant des délais d'une année dès la connaissance des faits propres à fonder la prétention concernée. Elle mentionne notamment les art. 60 al. 1 et 67 al. 1 CO, concernant la prescription des actions en dommages-intérêts ou pour cause d'enrichissement illégitime, ainsi que les art. 47 al. 2 LAVS et 48 al. 2 LAI concernant la réclamation de prestations arriérées d'assurances sociales. Elle soutient qu'à l'étude de la jurisprudence précitée, on ignore jusqu'à quand la victime peut agir utilement après qu'elle a reçu l'information manquante; à son avis, il s'impose donc d'appliquer un régime analogue à celui desdites dispositions pour le délai de péremption prévu à l' art. 16 al. 3 LAVI , afin d'assurer la sécurité du droit dans ce domaine et de respecter l'intention du législateur tendant à assurer une aide effective aux victimes d'infractions. Dans son arrêt du 8 décembre 1997, déjà mentionné, le Tribunal fédéral a examiné si la victime, agissant avec la diligence que l'on pouvait raisonnablement attendre d'elle, aurait pu présenter sa demande plus tôt qu'elle ne l'avait fait (Plädoyer 1998 1 p. 66, consid. 5d). L'incertitude juridique dont la recourante prétend tirer argument a ainsi été résolue, en ce sens que la victime ne peut se prétendre de bonne foi, et échapper ainsi à la rigueur de l' art. 16 al. 3 LAVI , que si elle s'adresse à l'autorité sans retard supplémentaire après qu'elle a reçu l'information manquante. Par ailleurs, le régime des dispositions invoquées par la recourante est fondamentalement différent de celui consacré à l' art. 16 al. 3 LAVI . Si l'on veut rechercher des clauses de la législation fédérale aptes à une application par analogie, il faut plutôt se référer aux art. 256c al. 3, 260c al. 3 et 263 al. 3 CC concernant respectivement, en matière d'établissement de la filiation, les actions en désaveu, en contestation d'une reconnaissance et en constatation de la paternité. Il est prévu que "l'action peut être intentée après l'expiration du délai lorsque de justes motifs rendent le retard excusable". Cette règle n'accorde aucun délai supplémentaire, même de brève durée, à la libre disposition du demandeur; celui-ci doit au contraire agir avec toute la rapidité possible, selon les circonstances, dès que la cause du retard a pris fin (Cyril Hegnauer, Commentaire bernois, n. 59 ad art. 256c CC ). La solution déjà consacrée par la jurisprudence relative à l' art. 16 al. 3 LAVI , où cette disposition reçoit une interprétation conforme aux exigences de la protection constitutionnelle de la bonne foi, correspond exactement à ces modalités.</w:t>
      </w:r>
    </w:p>
    <w:p>
      <w:r>
        <w:rPr>
          <w:b/>
        </w:rPr>
        <w:t>E. 4</w:t>
      </w:r>
    </w:p>
    <w:p>
      <w:r>
        <w:t>Il est constant que la recourante n'a reçu aucune information, au sujet des prestations qu'elle pouvait éventuellement demander au titre de l'aide aux victimes d'infractions, avant la lettre du Juge d'instruction du 14 juin 2000. Le délai de péremption de deux ans dès les infractions perpétrées en juin et juillet 1996 était alors échu. La recourante a introduit sa demande d'indemnisation encore un an après. Dans la mesure où elle admet avoir compté sur un délai supplémentaire d'une année dès le 14 juin 2000, elle n'a manifestement pas agi avec la diligence que l'on pouvait raisonnablement attendre d'elle. En effet, elle s'est exposée au risque que son opinion relative à la situation juridique ne fût pas suivie par les autorités appelées à statuer. Ce risque était d'ailleurs évident car l'opinion en cause n'était qu'une simple spéculation. Au demeurant, l'affaire était simple car la prétention de la recourante ne portait que sur une réparation pour tort moral. La recourante a aussi avancé d'autres justifications de son retard à agir. Elles sont toutefois sujettes à caution déjà en raison de la divergence totale que l'on constate entre les explications soumises successivement à l'autorité administrative puis au Tribunal cantonal des assurances. Si l'on se fie à la première version, selon laquelle la victime croyait ne plus pouvoir agir utilement après l'échéance du délai de deux ans, il faut supposer qu'encore longtemps après avoir consulté son avocat, le 24 juillet 2000, elle ignorait la jurisprudence publiée par le Tribunal fédéral concernant l' art. 16 al. 3 LAVI . Cela n'est pas vraisemblable. L'autre version, où la victime s'abstenait d'agir par crainte que l'auteur des infractions subies ne la retrouve, ne convainc pas non plus car la procédure administrative d'indemnisation est tout à fait indépendante de l'enquête pénale et l'auteur présumé n'y est aucunement impliqué. Par conséquent, en introduisant sa demande d'indemnisation le 14 juin 2001 seulement, la recourante n'a pas pris toutes les dispositions appropriées et raisonnablement exigibles pour faire valoir ses droits nonobstant le retard intervenu dans l'information prévue par la loi. Ses prétentions se sont donc éteintes par péremption, conformément à l' art. 16 al. 3 LAVI . Le recours de droit administratif, formé pour violation de cette disposition, se révèle mal fondé et doit être rejeté.</w:t>
      </w:r>
    </w:p>
    <w:p>
      <w:r>
        <w:rPr>
          <w:b/>
        </w:rPr>
        <w:t>E. 5</w:t>
      </w:r>
    </w:p>
    <w:p>
      <w:r>
        <w:t>Conformément à l' art. 16 al. 1 LAVI , le Tribunal fédéral ne perçoit pas d'émolument judiciaire dans les procédures de recours de droit administratif en matière d'indemnisation des victimes d'infractions.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