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1A.47/2003 vom 4. April 2003</w:t>
      </w:r>
    </w:p>
    <w:p>
      <w:r>
        <w:t>Bundesgericht, 2003-04-04, DE</w:t>
      </w:r>
    </w:p>
    <w:p>
      <w:r>
        <w:rPr>
          <w:b/>
        </w:rPr>
        <w:t xml:space="preserve">Quelle: </w:t>
      </w:r>
      <w:r>
        <w:t>https://mcp.opencaselaw.ch/entscheid/bger_1A.47_2003</w:t>
      </w:r>
    </w:p>
    <w:p>
      <w:r>
        <w:t>FR: TF 1A.47/2003 du 4 avril 2003</w:t>
      </w:r>
    </w:p>
    <w:p>
      <w:r>
        <w:t>IT: TF 1A.47/2003 del 4 aprile 2003</w:t>
      </w:r>
    </w:p>
    <w:p>
      <w:pPr>
        <w:pStyle w:val="Heading2"/>
      </w:pPr>
      <w:r>
        <w:t>Regeste</w:t>
      </w:r>
    </w:p>
    <w:p>
      <w:r>
        <w:t>Verkehr (ohne Strassenverkehr)</w:t>
      </w:r>
    </w:p>
    <w:p>
      <w:pPr>
        <w:pStyle w:val="Heading2"/>
      </w:pPr>
      <w:r>
        <w:t>Erwägungen</w:t>
      </w:r>
    </w:p>
    <w:p>
      <w:r>
        <w:rPr>
          <w:b/>
        </w:rPr>
        <w:t>E. 1</w:t>
      </w:r>
    </w:p>
    <w:p>
      <w:r>
        <w:t>Angefochten ist eine Zwischenverfügung über Gesuche um aufschiebende Wirkung bzw. um Wiedererteilung der aufschiebenden Wirkung sowie um Erlass anderer vorsorglicher Massnahmen. Zwischenverfügungen unterstehen der Verwaltungsgerichtsbeschwerde, wenn sie einen nicht wieder gutzumachenden Nachteil bewirken können (Art. 97 des Bundesgesetzes über die Organisation der Bundesrechtspflege [OG, SR 173.110] in Verbindung mit Art. 5 und 45 Abs. 1 des Bundesgesetzes über das Verwaltungsverfahren [VwVG, SR 172.021]) und wenn auch die nachmalige Endverfügung der Verwaltungsgerichtsbarkeit unterliegt ( Art. 101 lit. a OG e contrario). Diese Voraussetzungen sind hier erfüllt. Einerseits kann die Verwaltungsgerichtsbeschwerde gemäss der Ausnahmebestimmung von Art. 99 Abs. 2 lit. c OG gegen die Genehmigung von Betriebsreglementen für Flugplätze gerichtet werden. Andererseits zeigen die Beschwerdeführer auf, dass sie ohne vorsorgliche Massnahmen während der Dauer des vorinstanzlichen Verfahrens erhebliche Lärmbeeinträchtigungen hinnehmen müssten. Dies genügt im Verfahren der Verwaltungsgerichtsbeschwerde für die Annahme eines nicht wieder gutzumachenden Nachteils.</w:t>
      </w:r>
    </w:p>
    <w:p>
      <w:r>
        <w:rPr>
          <w:b/>
        </w:rPr>
        <w:t>E. 2</w:t>
      </w:r>
    </w:p>
    <w:p>
      <w:r>
        <w:t>Mit Verwaltungsgerichtsbeschwerde kann die Verletzung von Bundesrecht, einschliesslich Überschreitung oder Missbrauch des Ermessens, sowie die unrichtige oder unvollständige Feststellung des rechtserheblichen Sachverhaltes gerügt werden ( Art. 104 lit. a und b OG ). Das Bundesgericht wendet im verwaltungsgerichtlichen Beschwerdeverfahren das Bundesrecht von Amtes wegen an, ist an die von den Parteien vorgebrachten Begründungen nicht gebunden ( Art. 114 Abs. 1 OG ) und kann die Beschwerden auch aus anderen als den geltend gemachten Gründen gutheissen oder abweisen ( BGE 128 II 34 E. 1c S. 37, 128 II 145 E. 1.2.2 S. 150 f., 27 II 264 E. 1b S. 268 mit Hinweisen).</w:t>
      </w:r>
    </w:p>
    <w:p>
      <w:r>
        <w:rPr>
          <w:b/>
        </w:rPr>
        <w:t>E. 3</w:t>
      </w:r>
    </w:p>
    <w:p>
      <w:r>
        <w:t>Das Bundesgericht hat unlängst im zu veröffentlichenden Urteil vom 10. März 2003 i.S. Swisscom Fixnet AG (2A.619/2002) erkannt, dass der Instruktionsrichter der Rekurskommission UVEK zum Entscheid über die Wiederherstellung der aufschiebenden Wirkung nicht zuständig sei. Diese Kompetenz stehe nur dem Präsidenten einer eidgenössischen Rekurskommission zu. Nach dem ausdrücklichen Wortlaut von Art. 55 Abs. 3 VwVG könne nur die Beschwerdeinstanz "oder ihr Vorsitzender" die von der Vorinstanz entzogene aufschiebende Wirkung wieder herstellen. Auch in Art. 20 Abs. 5 der Verordnung vom 3. Februar 1993 über Organisation und Verfahren eidgenössischer Rekurs- und Schiedskommissionen (VRSK; SR 173.31) werde die Entscheidung über vorsorgliche Massnahmen gemäss Art. 55 und 56 VwVG allein dem Kommissionspräsidenten übertragen. Die Rekurskommission UVEK sei daher nicht befugt gewesen, in ihrem Reglement vom 27. März 2000 auch die Instruktionsrichter zu ermächtigen, unter anderem Verfügungen über vorsorgliche Massnahmen zu treffen. Die angefochtene vom Instruktionsrichter der Rekurskommission UVEK ausgehende Zwischenverfügung über die Wiederherstellung der aufschiebenden Wirkung stehe daher mit den bundesrechtlichen Zuständigkeitsvorschriften in Widerspruch und sei aufzuheben. Nach dieser neuesten bundesgerichtlichen Rechtsprechung ist auch die in den vorliegenden Verfahren vom Instruktionsrichter erlassene Zwischenverfügung über die aufschiebende Wirkung der Beschwerden als formell bundesrechtswidrig aufzuheben, ohne dass dies gerügt worden wäre (vgl. E. 2). Dabei kann die Frage offen bleiben, ob der in den vorliegenden Verfahren amtende Instruktionsrichter, der auch Vizepräsident der Rekurskommission ist, die Verfügung als solcher hätte erlassen dürfen, wird doch der Zwischenentscheid vom 24. Februar 2003 ausdrücklich als Verfügung des Instruktionsrichters bezeichnet. Die Sache ist zu neuem Entscheid durch das Präsidium oder die Rekurskommission UVEK selbst an diese zurückzuweisen.</w:t>
      </w:r>
    </w:p>
    <w:p>
      <w:r>
        <w:rPr>
          <w:b/>
        </w:rPr>
        <w:t>E. 4</w:t>
      </w:r>
    </w:p>
    <w:p>
      <w:r>
        <w:t>Von einer Kostenerhebung und von der Zusprechung von Parteientschädigungen für das bundesgerichtliche Verfahren ist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