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1A.47/2001 vom 27. September 2001</w:t>
      </w:r>
    </w:p>
    <w:p>
      <w:r>
        <w:t>Bundesgericht, 2001-09-27, IT</w:t>
      </w:r>
    </w:p>
    <w:p>
      <w:r>
        <w:rPr>
          <w:b/>
        </w:rPr>
        <w:t xml:space="preserve">Quelle: </w:t>
      </w:r>
      <w:r>
        <w:t>https://mcp.opencaselaw.ch/entscheid/bger_1A.47_2001</w:t>
      </w:r>
    </w:p>
    <w:p>
      <w:r>
        <w:t>FR: TF 1A.47/2001 du 27 septembre 2001</w:t>
      </w:r>
    </w:p>
    <w:p>
      <w:r>
        <w:t>IT: TF 1A.47/2001 del 27 settembre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Le ricorrenti, tenute ad addurre i fatti a sostegno della loro legittimazione ( DTF 123 II 161 consid. 1d/bb pag. 165), la fondano semplicemente sulla circostanza ch'esse sono coinvolte, in tempi e modi diversi, nelle procedure rogatoriali, e direttamente toccate dalla decisione di chiusura. aa)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126 II 258 consid. 2d, 124 II 180 consid. 1b, 122 II 130 consid. 2b). La legittimazione delle ricorrenti è data solo in quanto siano titolari dei conti - presso la Discount Bank and Trust di Lugano per la F.________ e la Banca del Gottardo di Lugano per l'altra società - oggetto della decisione di chiusura del 18 ottobre 2000, confermata dalla CRP ( art. 80h lett. b AIMP in relazione con l' art. 9a lett. a OAIMP ; DTF 126 II 258 consid. 2d/aa). Esse non sono invece legittimate, e in tale misura il ricorso è inammissibile, in quanto contestino la trasmissione di atti bancari riguardanti i conti di V.K.________, di E.________, della T.________, della A.________ e della P.________, sebbene la trasmissione di queste informazioni possa comportare - circostanza peraltro non addotta dalle ricorrenti - la rivelazione di informazioni che le concernono ( DTF 123 II 161 consid. 1d/aa e rinvii, 116 Ib 106 consid. 2a; Robert Zimmermann, La coopération judiciaire internationale en matière pénale, Berna 1999, n. 310). bb) Nell'atto di ricorso si rileva che le relazioni intestate alla J.________ Ltd. presso la Discount Bank and Trust Company di Lugano, e quelle della H.________ Ltd. presso la Banca del Gottardo sono state dissequestrate dal Procuratore pubblico il 5 settembre 2000, che si è fondato su uno scritto della Procura di Monaco; parrebbe quindi che alla ricorrente, non più toccata dalla contestata decisione di trasmissione, dovrebbe essere negata la legittimazione a ricorrere. Nella decisione impugnata la CRP ha nondimeno esaminato i loro gravami, respingendoli. Si giustifica quindi di vagliarli nel merito.</w:t>
      </w:r>
    </w:p>
    <w:p>
      <w:r>
        <w:rPr>
          <w:b/>
        </w:rPr>
        <w:t>E. 2</w:t>
      </w:r>
    </w:p>
    <w:p>
      <w:r>
        <w:t>Le ricorrenti fanno valere che l'esposto dei fatti sarebbe generico e vago. Accennano al fatto che si sarebbe, se del caso, solo in presenza di una semplice sottrazione fiscale. a) Nel caso di una truffa in materia fiscale (art. 3 cpv. 3 secondo periodo AIMP in relazione con l' art. 24 OAIMP , che rinvia al reato di truffa in materia di tasse secondo l' art. 14 cpv. 2 DPA ),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tali indicazioni non appaiano come del tutto prive di fondamento ( DTF 125 II 250 consid. 5b, 117 Ib 53 consid. 3 pag. 63 seg. , 116 Ib 96 consid. 4c, 115 Ib 68 consid. 3a/bb 3c, 114 Ib 56). Ciò implica una deroga alla prassi secondo cui l'Autorità svizzera non deve, di regola, pronunciarsi sulla realtà dei fatti addotti ( DTF 117 Ib 64 consid. 5c pag. 88 in basso e rinvio). Tuttavia, non si può pretendere dallo Stato richiedente ch'esso fornisca particolari che proprio la domanda di assistenza intende chiarire.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 b) L'Autorità richiedente ha rilevato che gli inquisiti avrebbero allestito fatture false - ritenute documenti dalla CRP - presentate ai competenti uffici per la deduzione dell'imposta precedente, ottenendone il rimborso. Secondo la Corte cantonale, inoltre, il carosello di società orchestrato per ottenere il rimborso di imposte mai pagate costituirebbe altresì una manovra fraudolenta. Questo giro di società, secondo la domanda estera, sarebbe stato organizzato a livello europeo per simulare vendite fittizie di telefoni cellulari. Una prima ditta ("Missing Trader") avrebbe rifornito una seconda ("Bufferfirma") di fatture indicanti prelievi d'imposta inesistenti, che sarebbero stati conteggiati nella fatturazione per vendite fittizie a una terza società. Quest'ultima avrebbe simulato l'esportazione all'estero dei cellulari ottenendo così il rimborso delle imposte indicate nelle fatture, in realtà mai pagate. La liquidazione della "Missing Trader", attiva in genere solo per qualche mese, avrebbe impedito la verifica fiscale, mentre l'intervento della ditta-cuscinetto (che avrebbe regolarmente esposto all'Autorità fiscale l'IVA fatturata dalla prima società), avrebbe conferito apparenza di serietà commerciale alla terza ditta, quale asserita esportatrice di merce regolarmente fatturata. Le ricorrenti sostengono semplicemente che l'esposto dei fatti indicato nelle rogatorie sarebbe lacunoso poiché non dimostrerebbe il grado del loro coinvolgimento. Non fanno tuttavia valere che la CRP avrebbe accertato i fatti in maniera arbitraria, né che la fattispecie posta a fondamento dell'impugnato giudizio sarebbe manifestamente inesatta o incompleta. Occorre d'altra parte considerare che, specie se l'inchiesta è al suo inizio come nella fattispecie, non si può pretendere che lo Stato richiedente fornisca particolari che proprio la domanda di assistenza intende chiarire. In determinate circostanze, si può pure ammettere che lo Stato richiedente, tenuto conto delle precauzioni che devono essere adottate nella fase istruttoria, si esprima con un certo riserbo, per evitare di fornire ai perseguiti indicazioni suscettibili di ostacolare l'inchiesta. Con queste premesse, e per le considerazioni riferite, l'esposto dei fatti è in concreto vincolante ( art. 105 cpv. 2 OG ; DTF 126 II 495 consid. 5e/aa pag. 501 e rinvii, 118 Ib 547 consid. 3a). Ne segue che potrebbe entrare in linea di conto non già una semplice sottrazione fiscale, ma una truffa in materia fiscale, come ritenuto dall'Amministrazione federale delle contribuzioni e dalla CRP ( DTF 125 II 250 consid. 3, 115 Ib 68 consid. 3a/bb pag. 77).</w:t>
      </w:r>
    </w:p>
    <w:p>
      <w:r>
        <w:rPr>
          <w:b/>
        </w:rPr>
        <w:t>E. 3</w:t>
      </w:r>
    </w:p>
    <w:p>
      <w:r>
        <w:t>Le ricorrenti incentrano il gravame sulla loro asserita estraneità ai prospettati reati: infatti, secondo loro, anche ammettendo che vi siano stati comportamenti illeciti in Germania, dagli atti non emergerebbe il sospetto che V.K.________, E.________ e gli organi delle ricorrenti avessero conoscenza delle presunte, e comunque contestate, attività. D'altra parte, esse rilevano ancora che le richieste di rimborso delle imposte non sarebbero state sottoscritte da loro, né si comprenderebbe il ruolo che avrebbero avuto nelle operazioni litigiose. a) Queste argomentazioni sono infondate. Nelle rogatorie e nei loro complementi sono indicati per ogni persona e società coinvolta i motivi di sospetto riferiti al ruolo svolto all'interno dell'organizzazione. Come ha rilevato la CRP, V.K.________ è sospettato di essere il perno dell'organizzazione; sui conti della T.________ Ltd. , società di sede da lui controllata, sarebbero confluiti i proventi della frode; dagli stessi conti sarebbero stati attinti capitali per fondare la D.________ GmbH ("Missing Trader"). Altri proventi di reato sarebbero stati versati in Italia, alla I.________ S.p.A. amministrata da S.K.________, rispettivamente alla A.________ Ltd. E.________ è considerato il braccio destro di V.K.________ e l'amministratore di fatto della S.________ GMbH di Francoforte (ulteriore "Missing Trader"). Da questa e dalla X.________ E.________ avrebbe ricevuto oltre 900'000 DM, corrispondenti al 2% dei proventi delle frodi. In particolare, egli è amministratore unico della F.________ Ltd. , per cui l'interesse dell'Autorità richiedente è rivolto verso i conti della ricorrente. Lo stesso vale per la H.________ Ltd. di cui è avente diritto economico l'indagato C.________. È in tali circostanze fuori luogo parlare, come fanno le ricorrenti, di una ricerca indiscriminata di prove (al riguardo v. DTF 125 II 65 consid. 6b/aa pag. 73, 122 II 367 consid. 2c, 121 II 241 consid. 3a pag. 243, 118 Ib 547 consid. 3a). A loro dire, nell'ambito della cosiddetta operazione "Lugano", oggetto delle rogatorie litigiose, non si tratterrebbe di accertare illeciti penali quanto di "puramente e semplicemente stroncare la loro attività e quella dei loro partner commerciali": l'assunto è privo di fondamento, già per il fatto che le ricorrenti nemmeno tentano di rendere verosimile tale ipotesi, né tanto meno forniscono elementi concreti, atti a rendere verosimile che le domande germaniche sarebbero abusive. b) Le ricorrenti disconoscono che la concessione dell'assistenza non presuppone affatto che l'interessato, nei cui confronti la domanda è rivolta, coincida con l'inquisito o l'accusato nella procedura aperta nello Stato richiedente, ciò che si verifica comunque nella fattispecie.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manifestamente per le ricorrenti, coinvolte secondo le Autorità germaniche nei sospettati traffici di telefoni cellulari, e ciò senza che siano necessarie un'implicazione nell'operazione criminosa e ancor meno una colpevolezza soggettiva ai sensi del diritto penale ( DTF 120 Ib 251 consid. 5a e b, 118 Ib 547 consid. 3a in fine; Zimmermann, op. cit. , n. 227). c) Le ricorrenti sostengono inoltre che le rogatorie si fonderebbero, tra l'altro, su intercettazioni telefoniche di cui non conoscerebbero il contenuto. Ora, la Parte richiedente non deve provare la commissione dei reati prospettati, ma soltanto esporre in modo sufficiente le circostanze e i gravi indizi, e non semplici supposizioni ( DTF 114 Ib 56 consid. 3d pag. 66), sui quali essa fonda i propri sospetti. Spetterà tuttavia al giudice straniero del merito esaminare se l'accusa potrà esibire o no le prove dell'asserito reato ( DTF 122 II 367 consid. 2c): non compete al Giudice dell'assistenza pronunciarsi sulla valutazione delle prove posta a fondamento della rogatoria ( DTF 117 Ib 64 consid. 5c pag. 88, 112 Ib 347 consid. 4). d) Secondo le ricorrenti la decisione impugnata dovrebbe essere annullata anche perché conferma il contestato ordine di trasmissione, troppo generico e vago, emanato dal Procurato pubblico; sostengono che, in sostanza, l'Autorità svizzera intenderebbe consegnare all'Autorità richiedente tutta la documentazione sequestrata, senza averne previamente esaminata la rilevanza potenziale. La critica non regge. Certo, la Parte richiesta non può trasmettere in blocco tutti gli atti di una relazione bancaria, in modo acritico e indeterminato, e lasciarne la cernita all'Autorità estera ( DTF 127 II 151 consid. 4c/aa, 122 II 369 consid. 2c, 115 Ib 186 consid. 4, 112 Ib 576 consid. 14a pag. 604). Nella fattispecie è tuttavia manifesto che tale cernita ha avuto luogo: il Procuratore pubblico, dopo aver esaminato la documentazione sequestrata, ha ritenuto ch'essa doveva essere consegnata poiché necessaria per il procedimento estero. e) Le altre critiche ricorsuali riguardano, in sostanza, l'asserita inutilità dei documenti sequestrati per il procedimento estero: essi concernerebbero infatti, oltre all'attività di compravendita di telefoni cellulari, anche ulteriori (non meglio precisate) attività commerciali legate alle più svariate merci. Secondo le ricorrenti le attività non legate direttamente al commercio di telefoni cellulari non sarebbero rilevanti per il procedimento estero. La questione di sapere se informazioni a questo riguardo siano necessarie o utili dev'essere lasciata tuttavia,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e delle ditte coinvolte e dei meccanismi messi in atto a livello internazionale, che sarebbero serviti a mascherarli, il campo delle indagini è necessariamente ampio, complesso e ramificato. E questo soprattutto in un caso come il presente ove, secondo quanto rilevano le ricorrenti stesse, l'inchiesta è estremamente vasta e ha coinvolto molte persone fisiche e giuridiche in Svizzera e all'estero; in particolare le ricorrenti sottolineano che il 28 giugno 2000 sono state eseguite in vari Paesi europei più di cento perquisizioni. La circostanza che è stata ordinata la trasmissione di documenti concernenti relazioni tra le società ricorrenti e altre società non menzionate nelle rogatorie, in particolare non germaniche, non è quindi decisiva, già per il fatto che il procedimento penale estero concerne vari Paesi europei.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Le conseguenze, sul piano personale e commerciale, del coinvolgimento delle ricorrenti nel procedimento penale germanico, cui essi accennano, non possono comportare il rifiuto dell'assistenza ( DTF 121 II 241 consid. 3c in fine), visto altresì ch'esse, in tale ambito, non si prevalgono di nessuna norma della CEAG, della Costituzione o della legge, per cui la censura parrebbe inammissibile; né tale circostanza costituisce una grave deficienza secondo l'art. 2 lett. d AIMP (cfr. DTF 115 Ib 68 consid. 6 pag. 87). f) Le ricorrenti sostengono che esisterebbe un reale commercio di telefoni cellulari molto vasto nel quale le persone e le società menzionate nella rogatoria sarebbero attive. Questa circostanza non dimostra tuttavia l'asserita infondatezza dei sospetti avanzati dalle Autorità germaniche poiché la sussistenza di un commercio reale non esclude manifestamente che, accanto a esso, sia stato messo in atto un commercio fittizio. È infatti per verificare questi sospetti che le Autorità estere intendono ricostruire compiutamente le varie operazioni, grazie anche alle risultanze dell'esame dei documenti svizzeri.</w:t>
      </w:r>
    </w:p>
    <w:p>
      <w:r>
        <w:rPr>
          <w:b/>
        </w:rPr>
        <w:t>E. 4</w:t>
      </w:r>
    </w:p>
    <w:p>
      <w:r>
        <w:t>a) Nella decisione impugnata la CRP ha stabilito che le ricorrenti si sono limitate a criticare in maniera generica, e solo indicando qualche esempio, l'ordine di trasmissione, senza tuttavia dimostrare l'irrilevanza potenziale dei singoli documenti per il procedimento estero. Nel presente gravame le ricorrenti, sottolineate le predette considerazioni dei Giudici cantonali, si limitano a sostenere che non spetterebbe loro evidenziare gli atti irrilevanti per il procedimento estero, visto che essi sono stati identificati in modo del tutto generico e senza nessuna particolare precisazione. Richiamando semplicemente l' asserita lacunosità delle rogatorie le ricorrenti ne concludono, ribadendo di non essere coinvolte nei prospettati reati, di non essere in grado di determinare la rilevanza dei documenti di apertura o degli estratti conto delle loro relazioni bancarie, per cui non potrebbero indicare al Tribunale federale quali documenti bancari sarebbero inutili per l'inchiesta estera. Come si è visto, le rogatorie non sono lacunose e il coinvolgimento delle ricorrenti nei sospettati reati vi è descritto in maniera sufficiente: esse avrebbero quindi potuto esprimersi, dinanzi all'Autorità di esecuzione, con cognizione di causa sulla rilevanza di tali atti. b) Secondo la costante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Le ricorrenti disattendono che dal profilo della buona fede non è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Ora, come si è visto, le ricorrenti si sono limitate a opporsi in maniera del tutto generica alla prospettata trasmissione, e non solo dinanzi all'Autorità di esecuzione bensì ancora dinanzi alla CRP. Non compete pertanto chiaramente al Tribunale federale rimediare d'ufficio alle omissioni delle ricorrenti ( DTF 126 II 258 consid. 9c in fine, 122 II 367 consid. 2d). c) Del resto, quando le Autorità estere chiedono informazioni su conti bancari in procedimenti per reati patrimoniali o corruttivi, esse necessitano di tutti i documenti, come del resto è stato espressamente postulato in concreto. Ciò perché debbono poter individuare il titolare giuridico ed economico del conto e sapere a chi sia pervenuto l'eventuale provento del reato ( DTF 124 II 180 consid. 3c inedito, 121 II 241 consid. 3c; Zimmermann, op. cit. , n. 478 pag. 370). In un'inchiesta ramificata come la presente l'Autorità estera, per poter ricostruire compiutamente le manovre fraudolente messe in atto dagli inquisiti, e per poter individuare e reperire i proventi dei prospettati reati, deve aver accesso a tutte le informazioni rilevanti. È inoltre palese che la trasmissione dei documenti di apertura dei conti delle persone e delle società menzionate nelle rogatorie è rilevante per il procedimento estero poiché idonea a far progredire l'inchiesta germanica ( DTF 122 II 134 consid. 7b, 121 II 241 consid. 3a).</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