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1A.46/2005 vom 23. Juni 2005</w:t>
      </w:r>
    </w:p>
    <w:p>
      <w:r>
        <w:t>Bundesgericht, 2005-06-23, FR</w:t>
      </w:r>
    </w:p>
    <w:p>
      <w:r>
        <w:rPr>
          <w:b/>
        </w:rPr>
        <w:t xml:space="preserve">Quelle: </w:t>
      </w:r>
      <w:r>
        <w:t>https://mcp.opencaselaw.ch/entscheid/bger_1A.46_2005</w:t>
      </w:r>
    </w:p>
    <w:p>
      <w:r>
        <w:t>FR: TF 1A.46/2005 du 23 juin 2005</w:t>
      </w:r>
    </w:p>
    <w:p>
      <w:r>
        <w:t>IT: TF 1A.46/2005 del 23 giugno 2005</w:t>
      </w:r>
    </w:p>
    <w:p>
      <w:pPr>
        <w:pStyle w:val="Heading2"/>
      </w:pPr>
      <w:r>
        <w:t>Regeste</w:t>
      </w:r>
    </w:p>
    <w:p>
      <w:r>
        <w:t>plans d'affectation cantonaux (n° 291 et 291bis, site marécageux de Noville) | Équilibre écologique</w:t>
      </w:r>
    </w:p>
    <w:p>
      <w:pPr>
        <w:pStyle w:val="Heading2"/>
      </w:pPr>
      <w:r>
        <w:t>Erwägungen</w:t>
      </w:r>
    </w:p>
    <w:p>
      <w:r>
        <w:rPr>
          <w:b/>
        </w:rPr>
        <w:t>E. 1</w:t>
      </w:r>
    </w:p>
    <w:p>
      <w:r>
        <w:t>La réponse du Département des institutions et des relations extérieures, déposée après l'échéance du délai fixé et, partant, tardive ( art. 32 al. 3 OJ ), ne doit pas être prise en considération.</w:t>
      </w:r>
    </w:p>
    <w:p>
      <w:r>
        <w:rPr>
          <w:b/>
        </w:rPr>
        <w:t>E. 2</w:t>
      </w:r>
    </w:p>
    <w:p>
      <w:r>
        <w:t>Le Tribunal fédéral est saisi d'un recours de droit administratif dans une contestation portant sur deux plans d'affectation cantonaux (PAC 291 et PAC 291bis). Lorsque le litige a pour objet un plan d'affectation au sens du droit fédéral de l'aménagement du territoire, à savoir un plan réglant le mode d'utilisation du sol dans son périmètre ( art. 14 al. 1 LAT ), il résulte de l' art. 34 al. 3 LAT que seule la voie du recours de droit public est en principe ouverte, devant le Tribunal fédéral, contre la décision prise en dernière instance cantonale. La jurisprudence admet cependant qu'une décision relative à l'adoption d'un plan d'affectation fasse l'objet d'un recours de droit administratif quand, notamment, l'application de la législation fédérale sur les forêts ou encore celle de prescriptions directement applicables de la législation fédérale sur la protection de la nature, est en jeu ( ATF 129 I 337 consid. 1.1 p. 339; 125 II 10 consid. 2a p. 13; 123 II 88 consid. 1a p. 91, 231 consid. 2 p. 234; cf. également ATF 127 II 184 ; 124 II 19 ). On considère en effet qu'il s'agit dans cette mesure d'une décision fondée non seulement sur le droit cantonal de l'aménagement du territoire mais également sur des dispositions de droit public ou administratif fédéral, au sens de l' art. 5 al. 1 PA , ne relevant pas de l'aménagement du territoire; par conséquent les règles de la procédure de recours de droit administratif s'appliquent (cf. art. 97 al. 1 OJ ). Dans la mesure en revanche où le droit cantonal de l'aménagement du territoire est en jeu, sans qu'il y ait un rapport suffisamment étroit avec l'application des dispositions précitées du droit administratif fédéral, c'est la voie du recours de droit public qui doit être choisie. En l'espèce, les deux plans d'affectation cantonaux ont pour but la mise en oeuvre de mesures de protection de biotopes et de sites prévues, en particulier, par la législation fédérale sur la protection de la nature (cf. art. 18a ss et art. 23a ss de la loi fédérale sur la protection de la nature et du paysage [LPN; RS 451]). La voie du recours de droit administratif entre donc en ligne de compte mais il n'y a pas lieu d'examiner plus en détail si les griefs des recourants peuvent, dans leur ensemble, être traités dans ce cadre. Les autres questions de recevabilité du recours de droit administratif, notamment celle de la qualité pour agir de l'association recourante et de ses deux consorts (cf. art. 103 let. a OJ ), peuvent également demeurer indécises, vu le sort à réserver aux griefs sur le fond.</w:t>
      </w:r>
    </w:p>
    <w:p>
      <w:r>
        <w:rPr>
          <w:b/>
        </w:rPr>
        <w:t>E. 3</w:t>
      </w:r>
    </w:p>
    <w:p>
      <w:r>
        <w:t>Les recourants reprochent au Tribunal administratif d'avoir procédé à une constatation manifestement inexacte ou incomplète des faits pertinents, à propos du régime applicable à la plage existante du "Gros-Brasset" ou plage dite des naturistes, son emplacement réel n'étant pas figuré correctement sur le document topographique servant de base au plan d'affectation cantonal. D'après eux, la juridiction cantonale aurait en outre commis un abus et un excès de son pouvoir d'appréciation en retenant que cette plage était soumise aux mesures de protection du PAC 291. A titre subsidiaire, les recourants font valoir que l'interdiction faite au public d'utiliser la plage est contraire à l' art. 73 Cst. , disposition constitutionnelle posant le principe du développement durable. L'examen des critiques des recourants au sujet du régime juridique applicable à la plage du "Gros-Brasset" présuppose que la contestation porte sur cet objet. Or tel n'est manifestement pas le cas. Le Tribunal administratif a considéré que le statut de la plage, qui fait partie des "secteurs terrestres" du PAC 291, avait déjà été réglé par des décisions entrées en force. La délimitation entre secteurs terrestres et secteurs lacustres est figurée clairement sur ce plan d'affectation cantonal. Le Tribunal administratif était fondé à retenir que, même si le tracé de cette ligne (la rive ou la grève du lac) ne correspondait pas (ou plus) exactement à la réalité topographique - circonstance qu'il a prise en compte -, cela ne remettait pas en cause la mesure d'aménagement du territoire adoptée par le canton 20 mai 1997, consistant à inclure cette plage dans le périmètre initial du PAC 291. Les griefs des recourants relatifs à l'affectation ou à l'utilisation de cette plage doivent donc, dans leur ensemble, être rejetés.</w:t>
      </w:r>
    </w:p>
    <w:p>
      <w:r>
        <w:rPr>
          <w:b/>
        </w:rPr>
        <w:t>E. 4</w:t>
      </w:r>
    </w:p>
    <w:p>
      <w:r>
        <w:t>Les recourants critiquent la nouvelle zone lacustre protégée II, au large de la plage du "Gros-Brasset", en faisant valoir que le PAC 291 "irait bien au-delà de ce que prévoyait la réserve internationale des Grangettes au moment où le projet a été mis à l'enquête"; le canton empiéterait sur des compétences exclusives de la Confédération en matière de protection des oiseaux notamment. Devant le Tribunal administratif, la contestation portait effectivement sur les nouvelles zones lacustres protégées I et II, mises à l'enquête publique (complémentaire) après l'adoption de la version initiale du PAC 291, dont le périmètre a ainsi été étendu. La mesure de planification que constitue l'affectation en zone protégée du secteur lacustre voisin de la plage du Gros-Brasset est une mesure cantonale fondée en particulier sur le droit fédéral de la protection de la nature. Le site des Grangettes, qui comprend notamment le marais du Gros-Brasset ainsi que la plage et le secteur lacustre attenants, est un site marécageux d'importance nationale (objet n° 289 de l'inventaire fédéral, selon la liste annexée à l'ordonnance sur les sites marécageux [RS 451.35]). A l'intérieur de ce site se trouvent une zone alluviale d'importance nationale (objet n° 123 de l'inventaire fédéral, selon la liste annexée à l'ordonnance sur les zones alluviales [RS 451.31]) ainsi que des bas-marais d'importance nationale (notamment celui du Gros-Brasset, objet n° 1382 de l'inventaire fédéral, selon la liste annexée à l'ordonnance sur les bas-marais [RS 451.33]). Contrairement à ce que paraissent soutenir les recourants, la concrétisation et la mise en oeuvre des buts de la protection d'un site marécageux d'importance nationale n'est pas principalement de la compétence de la Confédération; en vertu de l' art. 23c al. 2 LPN , il incombe aux cantons d'y veiller et de prendre les mesures de protection qui s'imposent (cf. ATF 127 II 177 consid. 3c p. 189; 124 II 19 consid. 3a p. 23). Par leur argumentation, les recourants ne critiquent pas le contenu des mesures de protection - celles prévues à l'art. 11b RPAC 291, définissant le régime de la zone lacustre protégée II - au regard des prescriptions du droit fédéral sur la protection des biotopes, des marais et des sites marécageux ( art. 18 ss, art. 23a ss LPN ). En évoquant, de façon peu explicite, la réserve internationale des Grangettes et la protection des oiseaux, ils paraissent cependant se plaindre de la façon dont sont mises en oeuvre d'autres prescriptions du droit fédéral. Il s'agit des règles concernant les réserves d'oiseaux d'eau et de migrateurs d'importance internationale et nationale, prévues dans une ordonnance du Conseil fédéral (OROEM; RS 922.32) dont le fondement se trouve principalement à l'art. 11 de la loi fédérale sur la chasse et la protection des mammifères et oiseaux sauvages (LChP; RS 922.0), règles qui doivent être appliquées de façon coordonnée avec celles relatives à la protection des marais et des sites marécageux. La région des Grangettes constitue en effet une réserve d'importance internationale mentionnée dans l'OROEM (objet n° 8). Les autorités cantonales doivent prendre en considération cet élément lors de l'élaboration des plans d'affectation ( art. 6 al. 2 OROEM ) mais l'ordonnance réserve expressément les mesures "d'une plus grande portée ou d'une autre teneur, visant la protection des biotopes" conformément aux art. 18 ss LPN ( art. 6 al. 3 OROEM ). En d'autres termes, les prescriptions applicables au site des Grangettes, en tant que réserve d'oiseaux d'eau et de migrateurs d'importance internationale, n'excluent nullement d'autres mesures de protection fondées sur les art. 18 ss LPN , en particulier sur les art. 23a ss LPN concernant spécifiquement les marais et sites marécageux. De ce point de vue, la création de la zone lacustre protégée II n'était donc pas une mesure cantonale exclue par le droit fédéral. Les griefs des recourants à ce sujet se révèlent ainsi mal fondés.</w:t>
      </w:r>
    </w:p>
    <w:p>
      <w:r>
        <w:rPr>
          <w:b/>
        </w:rPr>
        <w:t>E. 5</w:t>
      </w:r>
    </w:p>
    <w:p>
      <w:r>
        <w:t>Les recourants critiquent enfin le PAC 291bis, qui mentionne tous les accès et cheminements admis dans le périmètre du PAC 291, en omettant d'y faire figurer le chemin d'accès à la plage dite des naturistes. Cela entraînera la suppression d'un cheminement existant; or, selon eux, il est arbitraire de considérer que le PAC 291bis puisse avoir cet effet, dès lors que les piétons peuvent se prévaloir de l'existence d'une servitude de passage public. La désaffectation de ce chemin n'aurait pas été opérée valablement, compte tenu des exigences des art. 13 et 77 [recte: 17] de la loi cantonale sur les routes (LRou), en relation avec l'art. 3 du règlement d'application de cette loi (RLRou).</w:t>
      </w:r>
    </w:p>
    <w:p>
      <w:r>
        <w:rPr>
          <w:b/>
        </w:rPr>
        <w:t>E. 5.1</w:t>
      </w:r>
    </w:p>
    <w:p>
      <w:r>
        <w:t>D'après l'arrêt attaqué, le sentier litigieux constitue le principal, voire le seul accès terrestre à la plage précitée; ce cheminement serait interdit après l'entrée en vigueur du PAC 291bis. La servitude de passage public, dont les recourants se prévalent, grève une parcelle appartenant à l'organisation Pro Natura; elle est inscrite au bénéfice de la commune de Noville (le registre foncier n'indiquant pas son assiette exacte). Le Tribunal administratif a exposé la réglementation applicable, en droit cantonal, à la modification ou à la suppression de telles servitudes de passage constituées en faveur de la collectivité (autres servitudes, réservées par l' art. 781 CC ). En vertu de l'art. 1 al. 2 LRou, ces servitudes sont soumises à la loi sur les routes. La procédure de désaffectation d'une route est régie par les art. 10 à 13 LRou, qui règlent d'abord la construction des routes mais que l'art. 17 LRou déclare applicables par analogie à leur suppression. Il faut donc une enquête publique (art. 13 al. 1 LRou; voir aussi le renvoi de l'art. 75 du Code rural et foncier aux règles de la loi sur les routes, à propos de l'enquête publique en cas de suppression d'une servitude de passage public) et une procédure d'adoption d'un plan correspondant à celle prévue pour les plans d'affectation cantonaux ou communaux (art. 13 al. 3 et 4 LRou). En l'occurrence, d'après l'arrêt attaqué, l'absence de mention de la servitude de passage litigieuse dans le PAC 291bis signifie qu'elle a été supprimée, les exigences formelles du droit cantonal pour la désaffectation d'un chemin public ayant été observées.</w:t>
      </w:r>
    </w:p>
    <w:p>
      <w:r>
        <w:rPr>
          <w:b/>
        </w:rPr>
        <w:t>E. 5.2</w:t>
      </w:r>
    </w:p>
    <w:p>
      <w:r>
        <w:t>En contestant que l'adoption du PAC 291bis puisse avoir un effet sur la servitude de passage public, les recourants se plaignent d'une interprétation arbitraire des règles de la loi sur les routes. Seul ce grief entre en effet en considération, même dans l'hypothèse de la recevabilité du recours de droit administratif (cf. ATF 129 II 497 consid. 5.2 p. 520).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p. 9; 128 I 273 consid. 2.1 p. 275 et les arrêts cités). En l'espèce, comme le PAC 291bis a pour fonction de définir le tracé des chemins et accès à l'intérieur du périmètre du PAC 291, il n'est pas arbitraire de considérer qu'en ne reprenant pas un cheminement existant, il vise à désaffecter l'assiette de ce chemin. Il n'est pas non plus arbitraire d'interpréter les dispositions de la loi cantonale sur les routes dans ce sens qu'une décision prise selon les formes prévues pour l'adoption d'un plan d'affectation cantonal (art. 73 de la loi cantonale sur l'aménagement du territoire et des constructions [LATC]) peut entraîner la désaffectation ou la suppression d'une servitude de passage public. Il est vrai que la radiation de cette servitude n'était pas clairement indiquée ni sur le plan ni dans le dossier du PAC 291bis; aussi les recourants prétendent-ils que le dossier d'enquête ne contenait pas tous les éléments prévus à l'art. 3 RLRou. Ce point n'est cependant pas décisif car il ressortait clairement du PAC 291 et du PAC 291bis que les mesures de protection du site impliquaient, selon les autorités cantonales, la suppression du chemin litigieux. Ces derniers griefs des recourants sont donc également mal fondés.</w:t>
      </w:r>
    </w:p>
    <w:p>
      <w:r>
        <w:rPr>
          <w:b/>
        </w:rPr>
        <w:t>E. 6</w:t>
      </w:r>
    </w:p>
    <w:p>
      <w:r>
        <w:t>Il s'ensuit que le recours de droit administratif doit être rejeté, dans la mesure où il est recevable. Les recourants, qui succombent, doivent supporter les frais de la présente procédure. Un émolument judiciaire sera donc mis à leur charge ( art. 153, 153a et 156 al. 1 OJ ). Il n'y a pas lieu d'allouer des dépens aux collectivités publiques intimées ou intéressées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