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1A.43/2003 vom 23. April 2003</w:t>
      </w:r>
    </w:p>
    <w:p>
      <w:r>
        <w:t>Bundesgericht, 2003-04-23, FR</w:t>
      </w:r>
    </w:p>
    <w:p>
      <w:r>
        <w:rPr>
          <w:b/>
        </w:rPr>
        <w:t xml:space="preserve">Quelle: </w:t>
      </w:r>
      <w:r>
        <w:t>https://mcp.opencaselaw.ch/entscheid/bger_1A.43_2003</w:t>
      </w:r>
    </w:p>
    <w:p>
      <w:r>
        <w:t>FR: TF 1A.43/2003 du 23 avril 2003</w:t>
      </w:r>
    </w:p>
    <w:p>
      <w:r>
        <w:t>IT: TF 1A.43/2003 del 23 aprile 2003</w:t>
      </w:r>
    </w:p>
    <w:p>
      <w:pPr>
        <w:pStyle w:val="Heading2"/>
      </w:pPr>
      <w:r>
        <w:t>Regeste</w:t>
      </w:r>
    </w:p>
    <w:p>
      <w:r>
        <w:t>Entraide et extradition</w:t>
      </w:r>
    </w:p>
    <w:p>
      <w:pPr>
        <w:pStyle w:val="Heading2"/>
      </w:pPr>
      <w:r>
        <w:t>Erwägungen</w:t>
      </w:r>
    </w:p>
    <w:p>
      <w:r>
        <w:rPr>
          <w:b/>
        </w:rPr>
        <w:t>E. 1</w:t>
      </w:r>
    </w:p>
    <w:p>
      <w:r>
        <w:t>L'entraide judiciaire entre la République française et la Confédération est régie par la Convention européenne d'entraide judiciaire en matière pénale (CEEJ; RS 0.351.1), entrée en vigueur le 20 mars 1967 pour la Suisse et le 21 août 1967 pour la France, ainsi que par l'accord bilatéral complétant cette Convention (ci-après: l'Accord complémentaire; RS 0.351.934.92), conclu le 28 octobre 1996 et entré en vigueur le 1er mai 2000. Les dispositions de ces traités l'emportent sur le droit autonome se rapportant à la matière (soit notamment l'EIMP). Le droit interne reste cependant applicable aux questions non réglées, explicitement ou implicitement, par le droit conventionnel, et lorsqu'il est plus favorable à l'entraide que le droit conventionnel ( ATF 123 II 134 consid. 1a p. 136; 122 II 140 consid. 2 p. 142; 120 Ib 120 consid. 1a p. 122/123, et les arrêts cités). Est réservé le respect des droits fondamentaux ( ATF 123 II 595 consid. 7c p. 617).</w:t>
      </w:r>
    </w:p>
    <w:p>
      <w:r>
        <w:rPr>
          <w:b/>
        </w:rPr>
        <w:t>E. 2.1</w:t>
      </w:r>
    </w:p>
    <w:p>
      <w:r>
        <w:t>Selon la déclaration faite par la Suisse à l' art. 16 al. 2 CEEJ , les demandes d'entraide présentées à la Suisse doivent être accompagnée d'une traduction en langue allemande, française ou italienne, si elles ne sont pas rédigées dans l'une de ces langues (cf. aussi l' art. 28 al. 5 EIMP ). La demande litigieuse, rédigée en français, respecte cette condition. Le recourant ne saurait en exiger une traduction en allemand.</w:t>
      </w:r>
    </w:p>
    <w:p>
      <w:r>
        <w:rPr>
          <w:b/>
        </w:rPr>
        <w:t>E. 2.2</w:t>
      </w:r>
    </w:p>
    <w:p>
      <w:r>
        <w:t>Le Ministère public a instruit la procédure en français et cela quand bien même ses investigations ont eu des ramifications en Suisse romande comme en Suisse alémanique. Le recourant, avocat germanophone exerçant ses activités dans un canton de langue allemande et représenté dans la procédure par un avocat également germanophone, ne s'est pas opposé à ce procédé. Il a correspondu en allemand avec le Ministère public qui s'est adressé à lui en français. Sous l'angle de la bonne foi, le recourant ne saurait dès lors se plaindre ultérieurement que la procédure n'ait pas été conduite en allemand. Au demeurant, à l'instar des agents de la Confédération et des magistrats fédéraux, les avocats exerçant en Suisse une activité dans le domaine de l'entraide judiciaire sont censés connaître, au moins de manière passive, le français, l'allemand et l'italien (arrêt 1A.37/2001 du 12 juillet 2001, consid. 3). Une nouvelle notification de la décision attaquée en allemand n'entre ainsi pas en ligne de compte.</w:t>
      </w:r>
    </w:p>
    <w:p>
      <w:r>
        <w:rPr>
          <w:b/>
        </w:rPr>
        <w:t>E. 2.3</w:t>
      </w:r>
    </w:p>
    <w:p>
      <w:r>
        <w:t>Le présent arrêt est rédigé en français, langue de la décision attaquée ( art. 37 al. 3 OJ ).</w:t>
      </w:r>
    </w:p>
    <w:p>
      <w:r>
        <w:rPr>
          <w:b/>
        </w:rPr>
        <w:t>E. 3</w:t>
      </w:r>
    </w:p>
    <w:p>
      <w:r>
        <w:t>Le Tribunal fédéral examine d'office et avec une pleine cognition la recevabilité des recours qui lui sont soumis ( ATF 128 I 46 consid. 1a p. 48, et les arrêts cités).</w:t>
      </w:r>
    </w:p>
    <w:p>
      <w:r>
        <w:rPr>
          <w:b/>
        </w:rPr>
        <w:t>E. 3.1</w:t>
      </w:r>
    </w:p>
    <w:p>
      <w:r>
        <w:t>La voie du recours de droit administratif est ouverte contre la décision de clôture de la procédure d'entraide ( art. 25 al. 1 EIMP , mis en relation avec l'art. 80d de la même loi).</w:t>
      </w:r>
    </w:p>
    <w:p>
      <w:r>
        <w:rPr>
          <w:b/>
        </w:rPr>
        <w:t>E. 3.2</w:t>
      </w:r>
    </w:p>
    <w:p>
      <w:r>
        <w:t>Selon l' art. 80h let. b EIMP , a qualité pour agir quiconque est touché personnellement et directement par une mesure d'entraide et a un intérêt digne de protection à ce qu'elle soit annulée ou modifiée. Un tel intérêt existe lorsque la situation de fait ou de droit du recourant peut être influencée directement par le sort de la cause ( ATF 128 II 211 consid. 2.3 p. 217; 126 II 258 consid. 2d p. 259/260; 125 II 356 consid. 3b/aa p. 361/362; et les arrêts cités). Une atteinte seulement médiate ne suffit pas ( ATF 128 II 211 consid. 2.3 p. 217; 126 II 258 consid. 2d p. 259; 125 II 356 consid. 3b/aa p. 361, et les arrêts cités). Les agents du Ministère public ont perquisitionné les locaux professionnels du recourant et saisi des documents. Le recourant a été interrogé. Il a participé au tri des pièces. Or, comme l'indique le dispositif de la décision attaquée et le confirme le recourant, les documents saisis auprès de lui n'ont pas été transmis à l'Etat requérant (ch. 2) et lui seront retournés (ch. 3). Le recourant allègue toutefois que la communication aux autorités de l'Etat requérant, dans l'état de fait de la décision attaquée, de données (pour une part erronées) le concernant personnellement lui causerait une atteinte suffisamment grave pour faire reconnaître l'existence d'un intérêt digne de protection à l'annulation de la décision attaquée. Cette conception ne peut être partagée. Il est douteux que la simple transmission d'informations (mais non de moyens de preuve) concernant une personne au sujet de laquelle des investigations ont été menées puisse porter atteinte à ses droits dans une mesure telle qu'il faudrait entrer en matière. A cela s'ajoute que le dommage dont se plaint le recourant a déjà été réalisé après la notification de la décision d'entrée en matière du 26 mars 2002, laquelle, faute d'avoir été attaquée, ne peut plus être remise en cause. Le préjudice allégué n'est ainsi pas réparable dans le cadre de la présente procédure, de sorte qu'on pourrait se demander si celle-ci n'a pas perdu son objet. Cela étant, c'est sans doute à tort que le Ministère public a notifié les décisions d'entrée en matière et de clôture des 26 mars 2002 et 7 février 2003 aux autorités de l'Etat requérant, lequel, sous réserve d'exceptions qui ne sont manifestement pas réalisées en l'espèce, n'est pas partie à la procédure d'entraide ( ATF 125 II 411 ). La question de savoir si à raison de cela ou des autres inconvénients dont se plaint le recourant la responsabilité de la Confédération a été engagée, est exorbitante du présent litige.</w:t>
      </w:r>
    </w:p>
    <w:p>
      <w:r>
        <w:rPr>
          <w:b/>
        </w:rPr>
        <w:t>E. 4</w:t>
      </w:r>
    </w:p>
    <w:p>
      <w:r>
        <w:t>Le recours est ainsi irrecevable.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